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2.xml" ContentType="application/vnd.openxmlformats-officedocument.drawingml.chartshapes+xml"/>
  <Override PartName="/word/charts/chart9.xml" ContentType="application/vnd.openxmlformats-officedocument.drawingml.chart+xml"/>
  <Override PartName="/word/drawings/drawing3.xml" ContentType="application/vnd.openxmlformats-officedocument.drawingml.chartshapes+xml"/>
  <Override PartName="/word/charts/chart10.xml" ContentType="application/vnd.openxmlformats-officedocument.drawingml.chart+xml"/>
  <Override PartName="/word/drawings/drawing4.xml" ContentType="application/vnd.openxmlformats-officedocument.drawingml.chartshapes+xml"/>
  <Override PartName="/word/charts/chart11.xml" ContentType="application/vnd.openxmlformats-officedocument.drawingml.chart+xml"/>
  <Override PartName="/word/drawings/drawing5.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CAB" w:rsidRPr="006A1AF0" w:rsidRDefault="006D4CAB" w:rsidP="00CE21A9">
      <w:pPr>
        <w:pStyle w:val="Subtitle"/>
        <w:rPr>
          <w:rFonts w:asciiTheme="minorHAnsi" w:hAnsiTheme="minorHAnsi" w:cstheme="minorHAnsi"/>
          <w:b/>
          <w:i w:val="0"/>
          <w:color w:val="FF0000"/>
        </w:rPr>
      </w:pPr>
    </w:p>
    <w:tbl>
      <w:tblPr>
        <w:tblStyle w:val="TableGrid"/>
        <w:tblW w:w="0" w:type="auto"/>
        <w:tblLook w:val="04A0" w:firstRow="1" w:lastRow="0" w:firstColumn="1" w:lastColumn="0" w:noHBand="0" w:noVBand="1"/>
      </w:tblPr>
      <w:tblGrid>
        <w:gridCol w:w="9576"/>
      </w:tblGrid>
      <w:tr w:rsidR="006D4CAB" w:rsidRPr="00566794">
        <w:tc>
          <w:tcPr>
            <w:tcW w:w="12978" w:type="dxa"/>
            <w:shd w:val="clear" w:color="auto" w:fill="00BDEA"/>
            <w:vAlign w:val="center"/>
          </w:tcPr>
          <w:p w:rsidR="006D4CAB" w:rsidRDefault="006D4CAB" w:rsidP="00AE337B">
            <w:pPr>
              <w:jc w:val="center"/>
              <w:rPr>
                <w:rFonts w:ascii="Century Gothic" w:hAnsi="Century Gothic"/>
                <w:b/>
                <w:color w:val="FFFFFF" w:themeColor="background1"/>
                <w:sz w:val="36"/>
              </w:rPr>
            </w:pPr>
            <w:r>
              <w:rPr>
                <w:rFonts w:ascii="Century Gothic" w:hAnsi="Century Gothic"/>
                <w:b/>
                <w:color w:val="FFFFFF" w:themeColor="background1"/>
                <w:sz w:val="36"/>
              </w:rPr>
              <w:t>Ventra Performance Metrics</w:t>
            </w:r>
          </w:p>
          <w:p w:rsidR="006D4CAB" w:rsidRPr="006D4CAB" w:rsidRDefault="00FA126A" w:rsidP="00AE337B">
            <w:pPr>
              <w:jc w:val="center"/>
              <w:rPr>
                <w:rFonts w:ascii="Century Gothic" w:hAnsi="Century Gothic"/>
                <w:color w:val="FFFFFF" w:themeColor="background1"/>
              </w:rPr>
            </w:pPr>
            <w:r>
              <w:rPr>
                <w:rFonts w:ascii="Century Gothic" w:hAnsi="Century Gothic"/>
                <w:color w:val="FFFFFF" w:themeColor="background1"/>
              </w:rPr>
              <w:t>January 31</w:t>
            </w:r>
            <w:r w:rsidR="00125387">
              <w:rPr>
                <w:rFonts w:ascii="Century Gothic" w:hAnsi="Century Gothic"/>
                <w:color w:val="FFFFFF" w:themeColor="background1"/>
              </w:rPr>
              <w:t>, 2014</w:t>
            </w:r>
          </w:p>
          <w:p w:rsidR="006D4CAB" w:rsidRPr="00566794" w:rsidRDefault="006D4CAB" w:rsidP="00AE337B">
            <w:pPr>
              <w:rPr>
                <w:rFonts w:ascii="Century Gothic" w:hAnsi="Century Gothic"/>
                <w:i/>
                <w:color w:val="FFFFFF" w:themeColor="background1"/>
                <w:sz w:val="20"/>
              </w:rPr>
            </w:pPr>
          </w:p>
        </w:tc>
      </w:tr>
    </w:tbl>
    <w:p w:rsidR="006D4CAB" w:rsidRDefault="006D4CAB" w:rsidP="00B111ED">
      <w:pPr>
        <w:spacing w:after="0" w:line="240" w:lineRule="auto"/>
      </w:pPr>
    </w:p>
    <w:p w:rsidR="00D94566" w:rsidRDefault="00B54675" w:rsidP="00AA0D98">
      <w:pPr>
        <w:spacing w:after="0" w:line="240" w:lineRule="auto"/>
      </w:pPr>
      <w:r>
        <w:t xml:space="preserve">On November 5, </w:t>
      </w:r>
      <w:r w:rsidR="004B7E79">
        <w:t xml:space="preserve">2013, the </w:t>
      </w:r>
      <w:r>
        <w:t xml:space="preserve">CTA announced new measures of accountability for Ventra’s contractor, Cubic Transportation Systems.  This </w:t>
      </w:r>
      <w:r w:rsidRPr="00113A08">
        <w:t>report is a summary of many of those performance areas</w:t>
      </w:r>
      <w:r w:rsidR="007D01CE">
        <w:t>, especially func</w:t>
      </w:r>
      <w:r w:rsidR="00940224">
        <w:t>tions that directly affect custo</w:t>
      </w:r>
      <w:r w:rsidR="007D01CE">
        <w:t>mers</w:t>
      </w:r>
      <w:r w:rsidRPr="00113A08">
        <w:t xml:space="preserve">. </w:t>
      </w:r>
    </w:p>
    <w:p w:rsidR="00D94566" w:rsidRDefault="00D94566" w:rsidP="00AA0D98">
      <w:pPr>
        <w:spacing w:after="0" w:line="240" w:lineRule="auto"/>
      </w:pPr>
    </w:p>
    <w:p w:rsidR="00AA0D98" w:rsidRDefault="00AA0D98" w:rsidP="00AA0D98">
      <w:pPr>
        <w:spacing w:after="0" w:line="240" w:lineRule="auto"/>
      </w:pPr>
      <w:r>
        <w:t xml:space="preserve">Performance in every category has improved dramatically since November, with performance standards being met as of January 1, 2014.  The CTA continues to </w:t>
      </w:r>
      <w:r w:rsidRPr="003630F4">
        <w:t>monitor Ventra’s performance closely</w:t>
      </w:r>
      <w:r>
        <w:t xml:space="preserve"> to ensure consistency.</w:t>
      </w:r>
      <w:r w:rsidR="005955F4">
        <w:t xml:space="preserve"> </w:t>
      </w:r>
    </w:p>
    <w:p w:rsidR="00C92CC3" w:rsidRDefault="00C92CC3" w:rsidP="00B111ED">
      <w:pPr>
        <w:spacing w:after="0" w:line="240" w:lineRule="auto"/>
        <w:rPr>
          <w:b/>
          <w:sz w:val="12"/>
          <w:szCs w:val="12"/>
        </w:rPr>
      </w:pPr>
    </w:p>
    <w:p w:rsidR="00C3480B" w:rsidRPr="007419CB" w:rsidRDefault="00C3480B" w:rsidP="00B111ED">
      <w:pPr>
        <w:spacing w:after="0" w:line="240" w:lineRule="auto"/>
        <w:rPr>
          <w:b/>
          <w:sz w:val="12"/>
          <w:szCs w:val="12"/>
        </w:rPr>
      </w:pPr>
    </w:p>
    <w:p w:rsidR="000D35DA" w:rsidRDefault="00AE337B" w:rsidP="00B111ED">
      <w:pPr>
        <w:spacing w:after="0" w:line="240" w:lineRule="auto"/>
        <w:rPr>
          <w:rFonts w:cstheme="minorHAnsi"/>
          <w:b/>
          <w:u w:val="single"/>
        </w:rPr>
      </w:pPr>
      <w:r>
        <w:rPr>
          <w:rFonts w:cstheme="minorHAnsi"/>
          <w:b/>
          <w:u w:val="single"/>
        </w:rPr>
        <w:t>Taps</w:t>
      </w:r>
    </w:p>
    <w:p w:rsidR="00C77D49" w:rsidRPr="007419CB" w:rsidRDefault="00C77D49" w:rsidP="00B111ED">
      <w:pPr>
        <w:spacing w:after="0" w:line="240" w:lineRule="auto"/>
        <w:rPr>
          <w:rFonts w:cstheme="minorHAnsi"/>
          <w:b/>
          <w:sz w:val="12"/>
          <w:szCs w:val="12"/>
          <w:u w:val="single"/>
        </w:rPr>
      </w:pPr>
    </w:p>
    <w:p w:rsidR="00C77D49" w:rsidRPr="00E2706B" w:rsidRDefault="00750B09" w:rsidP="00B111ED">
      <w:pPr>
        <w:spacing w:after="0" w:line="240" w:lineRule="auto"/>
        <w:rPr>
          <w:rFonts w:cstheme="minorHAnsi"/>
        </w:rPr>
      </w:pPr>
      <w:r w:rsidRPr="00E2706B">
        <w:rPr>
          <w:rFonts w:cstheme="minorHAnsi"/>
        </w:rPr>
        <w:t>The following graphic depicts t</w:t>
      </w:r>
      <w:r w:rsidR="00AE337B" w:rsidRPr="00E2706B">
        <w:rPr>
          <w:rFonts w:cstheme="minorHAnsi"/>
        </w:rPr>
        <w:t>otal</w:t>
      </w:r>
      <w:r w:rsidR="00246694">
        <w:rPr>
          <w:rFonts w:cstheme="minorHAnsi"/>
        </w:rPr>
        <w:t xml:space="preserve"> taps </w:t>
      </w:r>
      <w:r w:rsidR="00C77D49" w:rsidRPr="00E2706B">
        <w:rPr>
          <w:rFonts w:cstheme="minorHAnsi"/>
        </w:rPr>
        <w:t xml:space="preserve">per week segmented by Ventra and </w:t>
      </w:r>
      <w:r w:rsidR="0031437F">
        <w:rPr>
          <w:rFonts w:cstheme="minorHAnsi"/>
        </w:rPr>
        <w:t>l</w:t>
      </w:r>
      <w:r w:rsidR="00C77D49" w:rsidRPr="00E2706B">
        <w:rPr>
          <w:rFonts w:cstheme="minorHAnsi"/>
        </w:rPr>
        <w:t>egacy</w:t>
      </w:r>
      <w:r w:rsidRPr="00E2706B">
        <w:rPr>
          <w:rFonts w:cstheme="minorHAnsi"/>
        </w:rPr>
        <w:t xml:space="preserve"> media</w:t>
      </w:r>
      <w:r w:rsidR="00C77D49" w:rsidRPr="00E2706B">
        <w:rPr>
          <w:rFonts w:cstheme="minorHAnsi"/>
        </w:rPr>
        <w:t xml:space="preserve">. </w:t>
      </w:r>
      <w:r w:rsidR="00B54675">
        <w:rPr>
          <w:rFonts w:cstheme="minorHAnsi"/>
        </w:rPr>
        <w:t xml:space="preserve">As illustrated, the percentage of Ventra taps has grown </w:t>
      </w:r>
      <w:r w:rsidR="00B54675" w:rsidRPr="00DA3E1D">
        <w:rPr>
          <w:rFonts w:cstheme="minorHAnsi"/>
        </w:rPr>
        <w:t>significantly since September</w:t>
      </w:r>
      <w:r w:rsidR="00C77D49" w:rsidRPr="00DA3E1D">
        <w:rPr>
          <w:rFonts w:cstheme="minorHAnsi"/>
        </w:rPr>
        <w:t xml:space="preserve">. </w:t>
      </w:r>
      <w:r w:rsidR="004B78C2" w:rsidRPr="00DA3E1D">
        <w:rPr>
          <w:rFonts w:cstheme="minorHAnsi"/>
        </w:rPr>
        <w:t xml:space="preserve">For the week of </w:t>
      </w:r>
      <w:r w:rsidR="00D02944">
        <w:rPr>
          <w:rFonts w:cstheme="minorHAnsi"/>
        </w:rPr>
        <w:t>January 19</w:t>
      </w:r>
      <w:r w:rsidR="009910B8" w:rsidRPr="00DA3E1D">
        <w:rPr>
          <w:rFonts w:cstheme="minorHAnsi"/>
        </w:rPr>
        <w:t xml:space="preserve"> through </w:t>
      </w:r>
      <w:r w:rsidR="00166909" w:rsidRPr="00DA3E1D">
        <w:rPr>
          <w:rFonts w:cstheme="minorHAnsi"/>
        </w:rPr>
        <w:t xml:space="preserve">January </w:t>
      </w:r>
      <w:r w:rsidR="00D02944">
        <w:rPr>
          <w:rFonts w:cstheme="minorHAnsi"/>
        </w:rPr>
        <w:t>25</w:t>
      </w:r>
      <w:r w:rsidRPr="00DA3E1D">
        <w:rPr>
          <w:rFonts w:cstheme="minorHAnsi"/>
        </w:rPr>
        <w:t xml:space="preserve">, </w:t>
      </w:r>
      <w:r w:rsidR="009910B8" w:rsidRPr="00DA3E1D">
        <w:rPr>
          <w:rFonts w:cstheme="minorHAnsi"/>
        </w:rPr>
        <w:t xml:space="preserve">Ventra comprised </w:t>
      </w:r>
      <w:r w:rsidR="00D02944">
        <w:rPr>
          <w:rFonts w:cstheme="minorHAnsi"/>
        </w:rPr>
        <w:t>79</w:t>
      </w:r>
      <w:r w:rsidR="00EB38C5" w:rsidRPr="00DA3E1D">
        <w:rPr>
          <w:rFonts w:cstheme="minorHAnsi"/>
        </w:rPr>
        <w:t xml:space="preserve"> percent</w:t>
      </w:r>
      <w:r w:rsidR="00E77ABA" w:rsidRPr="00DA3E1D">
        <w:rPr>
          <w:rFonts w:cstheme="minorHAnsi"/>
        </w:rPr>
        <w:t xml:space="preserve"> of total taps.</w:t>
      </w:r>
      <w:r w:rsidR="00E77ABA" w:rsidRPr="00E2706B">
        <w:rPr>
          <w:rFonts w:cstheme="minorHAnsi"/>
        </w:rPr>
        <w:t xml:space="preserve"> </w:t>
      </w:r>
    </w:p>
    <w:p w:rsidR="00FF38D1" w:rsidRPr="00E73653" w:rsidRDefault="00D36C3E" w:rsidP="00B111ED">
      <w:pPr>
        <w:spacing w:after="0" w:line="240" w:lineRule="auto"/>
        <w:rPr>
          <w:rFonts w:cstheme="minorHAnsi"/>
          <w:b/>
          <w:u w:val="single"/>
        </w:rPr>
      </w:pPr>
      <w:r w:rsidRPr="009560A0">
        <w:rPr>
          <w:noProof/>
        </w:rPr>
        <mc:AlternateContent>
          <mc:Choice Requires="wps">
            <w:drawing>
              <wp:anchor distT="0" distB="0" distL="114300" distR="114300" simplePos="0" relativeHeight="251661312" behindDoc="0" locked="0" layoutInCell="1" allowOverlap="1" wp14:anchorId="4E104F88" wp14:editId="62C8034C">
                <wp:simplePos x="0" y="0"/>
                <wp:positionH relativeFrom="column">
                  <wp:posOffset>4313555</wp:posOffset>
                </wp:positionH>
                <wp:positionV relativeFrom="paragraph">
                  <wp:posOffset>483235</wp:posOffset>
                </wp:positionV>
                <wp:extent cx="699770" cy="315595"/>
                <wp:effectExtent l="0" t="0" r="0" b="0"/>
                <wp:wrapNone/>
                <wp:docPr id="5" name="TextBox 2"/>
                <wp:cNvGraphicFramePr/>
                <a:graphic xmlns:a="http://schemas.openxmlformats.org/drawingml/2006/main">
                  <a:graphicData uri="http://schemas.microsoft.com/office/word/2010/wordprocessingShape">
                    <wps:wsp>
                      <wps:cNvSpPr txBox="1"/>
                      <wps:spPr>
                        <a:xfrm>
                          <a:off x="0" y="0"/>
                          <a:ext cx="699770" cy="315595"/>
                        </a:xfrm>
                        <a:prstGeom prst="rect">
                          <a:avLst/>
                        </a:prstGeom>
                      </wps:spPr>
                      <wps:txbx>
                        <w:txbxContent>
                          <w:p w:rsidR="00D94566" w:rsidRDefault="00D94566" w:rsidP="009560A0">
                            <w:pPr>
                              <w:pStyle w:val="NormalWeb"/>
                              <w:spacing w:before="0" w:beforeAutospacing="0" w:after="0" w:afterAutospacing="0"/>
                              <w:jc w:val="center"/>
                              <w:rPr>
                                <w:rFonts w:asciiTheme="minorHAnsi" w:hAnsi="Calibri" w:cstheme="minorBidi"/>
                                <w:sz w:val="14"/>
                                <w:szCs w:val="10"/>
                              </w:rPr>
                            </w:pPr>
                            <w:r>
                              <w:rPr>
                                <w:rFonts w:asciiTheme="minorHAnsi" w:hAnsi="Calibri" w:cstheme="minorBidi"/>
                                <w:sz w:val="14"/>
                                <w:szCs w:val="10"/>
                              </w:rPr>
                              <w:t>Holiday</w:t>
                            </w:r>
                          </w:p>
                          <w:p w:rsidR="00D94566" w:rsidRPr="00D02944" w:rsidRDefault="00D94566" w:rsidP="009560A0">
                            <w:pPr>
                              <w:pStyle w:val="NormalWeb"/>
                              <w:spacing w:before="0" w:beforeAutospacing="0" w:after="0" w:afterAutospacing="0"/>
                              <w:jc w:val="center"/>
                              <w:rPr>
                                <w:sz w:val="14"/>
                                <w:szCs w:val="10"/>
                              </w:rPr>
                            </w:pPr>
                            <w:r w:rsidRPr="00D02944">
                              <w:rPr>
                                <w:rFonts w:asciiTheme="minorHAnsi" w:hAnsi="Calibri" w:cstheme="minorBidi"/>
                                <w:sz w:val="14"/>
                                <w:szCs w:val="10"/>
                              </w:rPr>
                              <w:t>Weeks</w:t>
                            </w:r>
                          </w:p>
                        </w:txbxContent>
                      </wps:txbx>
                      <wps:bodyPr vertOverflow="clip" wrap="square" rtlCol="0"/>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339.65pt;margin-top:38.05pt;width:55.1pt;height:24.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" filled="f" stroked="f">
                <v:textbox>
                  <w:txbxContent>
                    <w:p w:rsidR="00940224" w:rsidRDefault="00940224" w:rsidP="009560A0">
                      <w:pPr>
                        <w:pStyle w:val="NormalWeb"/>
                        <w:spacing w:before="0" w:beforeAutospacing="0" w:after="0" w:afterAutospacing="0"/>
                        <w:jc w:val="center"/>
                        <w:rPr>
                          <w:rFonts w:asciiTheme="minorHAnsi" w:hAnsi="Calibri" w:cstheme="minorBidi"/>
                          <w:sz w:val="14"/>
                          <w:szCs w:val="10"/>
                        </w:rPr>
                      </w:pPr>
                      <w:r>
                        <w:rPr>
                          <w:rFonts w:asciiTheme="minorHAnsi" w:hAnsi="Calibri" w:cstheme="minorBidi"/>
                          <w:sz w:val="14"/>
                          <w:szCs w:val="10"/>
                        </w:rPr>
                        <w:t>Holiday</w:t>
                      </w:r>
                    </w:p>
                    <w:p w:rsidR="00940224" w:rsidRPr="00D02944" w:rsidRDefault="00940224" w:rsidP="009560A0">
                      <w:pPr>
                        <w:pStyle w:val="NormalWeb"/>
                        <w:spacing w:before="0" w:beforeAutospacing="0" w:after="0" w:afterAutospacing="0"/>
                        <w:jc w:val="center"/>
                        <w:rPr>
                          <w:sz w:val="14"/>
                          <w:szCs w:val="10"/>
                        </w:rPr>
                      </w:pPr>
                      <w:r w:rsidRPr="00D02944">
                        <w:rPr>
                          <w:rFonts w:asciiTheme="minorHAnsi" w:hAnsi="Calibri" w:cstheme="minorBidi"/>
                          <w:sz w:val="14"/>
                          <w:szCs w:val="10"/>
                        </w:rPr>
                        <w:t>Weeks</w:t>
                      </w:r>
                    </w:p>
                  </w:txbxContent>
                </v:textbox>
              </v:shape>
            </w:pict>
          </mc:Fallback>
        </mc:AlternateContent>
      </w:r>
      <w:r>
        <w:rPr>
          <w:rFonts w:cstheme="minorHAnsi"/>
          <w:noProof/>
        </w:rPr>
        <mc:AlternateContent>
          <mc:Choice Requires="wps">
            <w:drawing>
              <wp:anchor distT="0" distB="0" distL="114300" distR="114300" simplePos="0" relativeHeight="251662336" behindDoc="0" locked="0" layoutInCell="1" allowOverlap="1" wp14:anchorId="2E337438" wp14:editId="06FE5A9E">
                <wp:simplePos x="0" y="0"/>
                <wp:positionH relativeFrom="column">
                  <wp:posOffset>4514850</wp:posOffset>
                </wp:positionH>
                <wp:positionV relativeFrom="paragraph">
                  <wp:posOffset>748030</wp:posOffset>
                </wp:positionV>
                <wp:extent cx="298450" cy="349250"/>
                <wp:effectExtent l="0" t="6350" r="19050" b="19050"/>
                <wp:wrapNone/>
                <wp:docPr id="6" name="Left Brace 6"/>
                <wp:cNvGraphicFramePr/>
                <a:graphic xmlns:a="http://schemas.openxmlformats.org/drawingml/2006/main">
                  <a:graphicData uri="http://schemas.microsoft.com/office/word/2010/wordprocessingShape">
                    <wps:wsp>
                      <wps:cNvSpPr/>
                      <wps:spPr>
                        <a:xfrm rot="5400000">
                          <a:off x="0" y="0"/>
                          <a:ext cx="298450" cy="34925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 o:spid="_x0000_s1026" type="#_x0000_t87" style="position:absolute;margin-left:355.5pt;margin-top:58.9pt;width:23.5pt;height:27.5pt;rotation:9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" adj="1538" strokecolor="black [3213]"/>
            </w:pict>
          </mc:Fallback>
        </mc:AlternateContent>
      </w:r>
      <w:r w:rsidR="00125785" w:rsidRPr="00125785">
        <w:rPr>
          <w:noProof/>
        </w:rPr>
        <w:t xml:space="preserve"> </w:t>
      </w:r>
      <w:r w:rsidR="00DA3E1D" w:rsidRPr="00DA3E1D">
        <w:rPr>
          <w:noProof/>
        </w:rPr>
        <w:t xml:space="preserve"> </w:t>
      </w:r>
      <w:r w:rsidR="00D02944" w:rsidRPr="00D36C3E">
        <w:rPr>
          <w:noProof/>
        </w:rPr>
        <w:drawing>
          <wp:inline distT="0" distB="0" distL="0" distR="0" wp14:anchorId="66E723CE" wp14:editId="4C558FD2">
            <wp:extent cx="5943600" cy="2394585"/>
            <wp:effectExtent l="0" t="0" r="19050" b="247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5252D" w:rsidRPr="00E73653" w:rsidRDefault="0045252D" w:rsidP="00B111ED">
      <w:pPr>
        <w:spacing w:after="0" w:line="240" w:lineRule="auto"/>
        <w:rPr>
          <w:rFonts w:cstheme="minorHAnsi"/>
        </w:rPr>
      </w:pPr>
    </w:p>
    <w:p w:rsidR="00805D5D" w:rsidRDefault="001D4563" w:rsidP="00805D5D">
      <w:pPr>
        <w:spacing w:after="0" w:line="240" w:lineRule="auto"/>
      </w:pPr>
      <w:r>
        <w:t xml:space="preserve">Through </w:t>
      </w:r>
      <w:r w:rsidR="00093C3B" w:rsidRPr="00DA3E1D">
        <w:t xml:space="preserve">January </w:t>
      </w:r>
      <w:r w:rsidR="00D02944">
        <w:t>25</w:t>
      </w:r>
      <w:r w:rsidRPr="00DA3E1D">
        <w:t xml:space="preserve">, there had been more than </w:t>
      </w:r>
      <w:r w:rsidR="005955F4">
        <w:t>86.9</w:t>
      </w:r>
      <w:r w:rsidR="00805D5D" w:rsidRPr="00DA3E1D">
        <w:t xml:space="preserve"> million</w:t>
      </w:r>
      <w:r w:rsidR="00805D5D">
        <w:t xml:space="preserve"> Ventra taps across the system. </w:t>
      </w:r>
    </w:p>
    <w:p w:rsidR="00E73653" w:rsidRDefault="00E73653" w:rsidP="00B111ED">
      <w:pPr>
        <w:spacing w:after="0" w:line="240" w:lineRule="auto"/>
      </w:pPr>
    </w:p>
    <w:p w:rsidR="00E73653" w:rsidRDefault="00E73653" w:rsidP="00B111ED">
      <w:pPr>
        <w:spacing w:after="0" w:line="240" w:lineRule="auto"/>
      </w:pPr>
    </w:p>
    <w:p w:rsidR="00C77D49" w:rsidRDefault="00C77D49">
      <w:pPr>
        <w:rPr>
          <w:b/>
          <w:u w:val="single"/>
        </w:rPr>
      </w:pPr>
      <w:r>
        <w:rPr>
          <w:b/>
          <w:u w:val="single"/>
        </w:rPr>
        <w:br w:type="page"/>
      </w:r>
    </w:p>
    <w:p w:rsidR="00242FD9" w:rsidRDefault="00242FD9" w:rsidP="00B111ED">
      <w:pPr>
        <w:spacing w:after="0" w:line="240" w:lineRule="auto"/>
        <w:rPr>
          <w:b/>
          <w:u w:val="single"/>
        </w:rPr>
      </w:pPr>
      <w:r>
        <w:rPr>
          <w:b/>
          <w:u w:val="single"/>
        </w:rPr>
        <w:lastRenderedPageBreak/>
        <w:t>Active Accounts</w:t>
      </w:r>
    </w:p>
    <w:p w:rsidR="004B78C2" w:rsidRPr="00B36637" w:rsidRDefault="004B78C2" w:rsidP="00B111ED">
      <w:pPr>
        <w:spacing w:after="0" w:line="240" w:lineRule="auto"/>
        <w:rPr>
          <w:b/>
          <w:sz w:val="12"/>
          <w:szCs w:val="12"/>
          <w:u w:val="single"/>
        </w:rPr>
      </w:pPr>
    </w:p>
    <w:p w:rsidR="004B78C2" w:rsidRPr="00E2706B" w:rsidRDefault="00877C4B" w:rsidP="00B111ED">
      <w:pPr>
        <w:spacing w:after="0" w:line="240" w:lineRule="auto"/>
        <w:rPr>
          <w:b/>
          <w:u w:val="single"/>
        </w:rPr>
      </w:pPr>
      <w:r w:rsidRPr="00E2706B">
        <w:rPr>
          <w:rFonts w:cstheme="minorHAnsi"/>
        </w:rPr>
        <w:t xml:space="preserve">The following data set represents the volume of active Ventra accounts. </w:t>
      </w:r>
      <w:r w:rsidR="00A23D93">
        <w:rPr>
          <w:rFonts w:cstheme="minorHAnsi"/>
        </w:rPr>
        <w:t xml:space="preserve"> </w:t>
      </w:r>
      <w:r w:rsidRPr="00E2706B">
        <w:rPr>
          <w:rFonts w:cstheme="minorHAnsi"/>
        </w:rPr>
        <w:t xml:space="preserve">The graphic illustrates a </w:t>
      </w:r>
      <w:r w:rsidRPr="00837D34">
        <w:rPr>
          <w:rFonts w:cstheme="minorHAnsi"/>
        </w:rPr>
        <w:t xml:space="preserve">continued upward trend in the number of active accounts </w:t>
      </w:r>
      <w:r w:rsidR="00125785" w:rsidRPr="00837D34">
        <w:rPr>
          <w:rFonts w:cstheme="minorHAnsi"/>
        </w:rPr>
        <w:t xml:space="preserve">since </w:t>
      </w:r>
      <w:r w:rsidR="00D02944">
        <w:rPr>
          <w:rFonts w:cstheme="minorHAnsi"/>
        </w:rPr>
        <w:t>December 2</w:t>
      </w:r>
      <w:r w:rsidR="00B17A74">
        <w:rPr>
          <w:rFonts w:cstheme="minorHAnsi"/>
        </w:rPr>
        <w:t>8</w:t>
      </w:r>
      <w:r w:rsidRPr="00837D34">
        <w:rPr>
          <w:rFonts w:cstheme="minorHAnsi"/>
        </w:rPr>
        <w:t xml:space="preserve">. </w:t>
      </w:r>
      <w:r w:rsidR="00A23D93">
        <w:rPr>
          <w:rFonts w:cstheme="minorHAnsi"/>
        </w:rPr>
        <w:t xml:space="preserve"> </w:t>
      </w:r>
      <w:r w:rsidRPr="00837D34">
        <w:rPr>
          <w:rFonts w:cstheme="minorHAnsi"/>
        </w:rPr>
        <w:t xml:space="preserve">As of </w:t>
      </w:r>
      <w:r w:rsidR="00C805CA">
        <w:rPr>
          <w:rFonts w:cstheme="minorHAnsi"/>
        </w:rPr>
        <w:t>January 2</w:t>
      </w:r>
      <w:r w:rsidR="00B17A74">
        <w:rPr>
          <w:rFonts w:cstheme="minorHAnsi"/>
        </w:rPr>
        <w:t>8</w:t>
      </w:r>
      <w:r w:rsidR="00210C6E" w:rsidRPr="00837D34">
        <w:rPr>
          <w:rFonts w:cstheme="minorHAnsi"/>
        </w:rPr>
        <w:t xml:space="preserve">, there </w:t>
      </w:r>
      <w:r w:rsidR="00210C6E" w:rsidRPr="009E11A6">
        <w:rPr>
          <w:rFonts w:cstheme="minorHAnsi"/>
        </w:rPr>
        <w:t xml:space="preserve">were </w:t>
      </w:r>
      <w:r w:rsidR="005955F4">
        <w:rPr>
          <w:rFonts w:cstheme="minorHAnsi"/>
        </w:rPr>
        <w:t xml:space="preserve">approximately </w:t>
      </w:r>
      <w:r w:rsidR="00837D34" w:rsidRPr="009E11A6">
        <w:rPr>
          <w:rFonts w:cstheme="minorHAnsi"/>
        </w:rPr>
        <w:t>1.</w:t>
      </w:r>
      <w:r w:rsidR="006B6E94">
        <w:rPr>
          <w:rFonts w:cstheme="minorHAnsi"/>
        </w:rPr>
        <w:t>37</w:t>
      </w:r>
      <w:r w:rsidR="00B54675" w:rsidRPr="009E11A6">
        <w:rPr>
          <w:rFonts w:cstheme="minorHAnsi"/>
        </w:rPr>
        <w:t xml:space="preserve"> million</w:t>
      </w:r>
      <w:r w:rsidR="00B54675" w:rsidRPr="00837D34">
        <w:rPr>
          <w:rFonts w:cstheme="minorHAnsi"/>
        </w:rPr>
        <w:t xml:space="preserve"> active Ventra accounts</w:t>
      </w:r>
      <w:r w:rsidR="00DB7F53" w:rsidRPr="00837D34">
        <w:rPr>
          <w:rFonts w:cstheme="minorHAnsi"/>
        </w:rPr>
        <w:t xml:space="preserve">. This </w:t>
      </w:r>
      <w:r w:rsidR="00FB6174" w:rsidRPr="00B23ACD">
        <w:rPr>
          <w:rFonts w:cstheme="minorHAnsi"/>
        </w:rPr>
        <w:t xml:space="preserve">represents a </w:t>
      </w:r>
      <w:r w:rsidR="00C805CA">
        <w:rPr>
          <w:rFonts w:cstheme="minorHAnsi"/>
        </w:rPr>
        <w:t>4</w:t>
      </w:r>
      <w:r w:rsidR="00B17A74">
        <w:rPr>
          <w:rFonts w:cstheme="minorHAnsi"/>
        </w:rPr>
        <w:t>9</w:t>
      </w:r>
      <w:r w:rsidR="0015151E">
        <w:rPr>
          <w:rFonts w:cstheme="minorHAnsi"/>
        </w:rPr>
        <w:t>.9</w:t>
      </w:r>
      <w:r w:rsidR="00C805CA">
        <w:rPr>
          <w:rFonts w:cstheme="minorHAnsi"/>
        </w:rPr>
        <w:t xml:space="preserve"> </w:t>
      </w:r>
      <w:r w:rsidR="00FB6174" w:rsidRPr="00B23ACD">
        <w:rPr>
          <w:rFonts w:cstheme="minorHAnsi"/>
        </w:rPr>
        <w:t>percent</w:t>
      </w:r>
      <w:r w:rsidR="00FB6174" w:rsidRPr="00415B7A">
        <w:rPr>
          <w:rFonts w:cstheme="minorHAnsi"/>
        </w:rPr>
        <w:t xml:space="preserve"> increase </w:t>
      </w:r>
      <w:r w:rsidR="005955F4">
        <w:rPr>
          <w:rFonts w:cstheme="minorHAnsi"/>
        </w:rPr>
        <w:t xml:space="preserve">in active accounts </w:t>
      </w:r>
      <w:r w:rsidR="00FB6174" w:rsidRPr="00415B7A">
        <w:rPr>
          <w:rFonts w:cstheme="minorHAnsi"/>
        </w:rPr>
        <w:t xml:space="preserve">since </w:t>
      </w:r>
      <w:r w:rsidR="00B54675">
        <w:rPr>
          <w:rFonts w:cstheme="minorHAnsi"/>
        </w:rPr>
        <w:t>mid-November</w:t>
      </w:r>
      <w:r w:rsidR="00FB6174">
        <w:rPr>
          <w:rFonts w:cstheme="minorHAnsi"/>
        </w:rPr>
        <w:t xml:space="preserve">. </w:t>
      </w:r>
    </w:p>
    <w:p w:rsidR="00C47CCE" w:rsidRDefault="00C47CCE" w:rsidP="00892C8D">
      <w:pPr>
        <w:spacing w:after="0" w:line="240" w:lineRule="auto"/>
        <w:rPr>
          <w:b/>
          <w:u w:val="single"/>
        </w:rPr>
      </w:pPr>
    </w:p>
    <w:p w:rsidR="00C47CCE" w:rsidRDefault="00B17A74" w:rsidP="00892C8D">
      <w:pPr>
        <w:spacing w:after="0" w:line="240" w:lineRule="auto"/>
        <w:rPr>
          <w:b/>
          <w:u w:val="single"/>
        </w:rPr>
      </w:pPr>
      <w:r>
        <w:rPr>
          <w:noProof/>
        </w:rPr>
        <w:drawing>
          <wp:inline distT="0" distB="0" distL="0" distR="0" wp14:anchorId="097B3A0B" wp14:editId="576E67CD">
            <wp:extent cx="5943600" cy="2533015"/>
            <wp:effectExtent l="0" t="0" r="19050" b="1968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B38C5" w:rsidRPr="00B36637" w:rsidRDefault="00EB38C5" w:rsidP="00B111ED">
      <w:pPr>
        <w:spacing w:after="0" w:line="240" w:lineRule="auto"/>
        <w:rPr>
          <w:rFonts w:cstheme="minorHAnsi"/>
          <w:color w:val="1F497D" w:themeColor="text2"/>
          <w:sz w:val="12"/>
          <w:szCs w:val="12"/>
        </w:rPr>
      </w:pPr>
    </w:p>
    <w:tbl>
      <w:tblPr>
        <w:tblStyle w:val="TableGrid"/>
        <w:tblW w:w="0" w:type="auto"/>
        <w:tblInd w:w="108" w:type="dxa"/>
        <w:tblLook w:val="04A0" w:firstRow="1" w:lastRow="0" w:firstColumn="1" w:lastColumn="0" w:noHBand="0" w:noVBand="1"/>
      </w:tblPr>
      <w:tblGrid>
        <w:gridCol w:w="2741"/>
        <w:gridCol w:w="1621"/>
        <w:gridCol w:w="1491"/>
        <w:gridCol w:w="1770"/>
        <w:gridCol w:w="1737"/>
      </w:tblGrid>
      <w:tr w:rsidR="00790F02" w:rsidRPr="00B74DD8" w:rsidTr="00560576">
        <w:tc>
          <w:tcPr>
            <w:tcW w:w="2741" w:type="dxa"/>
            <w:shd w:val="clear" w:color="auto" w:fill="4F81BD" w:themeFill="accent1"/>
          </w:tcPr>
          <w:p w:rsidR="00790F02" w:rsidRPr="00B74DD8" w:rsidRDefault="00790F02" w:rsidP="00B111ED">
            <w:pPr>
              <w:rPr>
                <w:rFonts w:cstheme="minorHAnsi"/>
                <w:b/>
                <w:color w:val="FFFFFF" w:themeColor="background1"/>
                <w:sz w:val="20"/>
                <w:szCs w:val="20"/>
              </w:rPr>
            </w:pPr>
            <w:r w:rsidRPr="00B74DD8">
              <w:rPr>
                <w:rFonts w:cstheme="minorHAnsi"/>
                <w:b/>
                <w:color w:val="FFFFFF" w:themeColor="background1"/>
                <w:sz w:val="20"/>
                <w:szCs w:val="20"/>
              </w:rPr>
              <w:t>Account Type</w:t>
            </w:r>
          </w:p>
        </w:tc>
        <w:tc>
          <w:tcPr>
            <w:tcW w:w="1621" w:type="dxa"/>
            <w:shd w:val="clear" w:color="auto" w:fill="4F81BD" w:themeFill="accent1"/>
          </w:tcPr>
          <w:p w:rsidR="00790F02" w:rsidRPr="00560576" w:rsidRDefault="00790F02" w:rsidP="00790F02">
            <w:pPr>
              <w:jc w:val="center"/>
              <w:rPr>
                <w:rFonts w:cstheme="minorHAnsi"/>
                <w:b/>
                <w:color w:val="FFFFFF" w:themeColor="background1"/>
                <w:sz w:val="20"/>
                <w:szCs w:val="20"/>
              </w:rPr>
            </w:pPr>
            <w:r w:rsidRPr="00560576">
              <w:rPr>
                <w:rFonts w:cstheme="minorHAnsi"/>
                <w:b/>
                <w:color w:val="FFFFFF" w:themeColor="background1"/>
                <w:sz w:val="20"/>
                <w:szCs w:val="20"/>
              </w:rPr>
              <w:t>Ventra</w:t>
            </w:r>
          </w:p>
        </w:tc>
        <w:tc>
          <w:tcPr>
            <w:tcW w:w="1491" w:type="dxa"/>
            <w:shd w:val="clear" w:color="auto" w:fill="4F81BD" w:themeFill="accent1"/>
          </w:tcPr>
          <w:p w:rsidR="00790F02" w:rsidRPr="00560576" w:rsidRDefault="00790F02" w:rsidP="00790F02">
            <w:pPr>
              <w:jc w:val="center"/>
              <w:rPr>
                <w:rFonts w:cstheme="minorHAnsi"/>
                <w:b/>
                <w:color w:val="FFFFFF" w:themeColor="background1"/>
                <w:sz w:val="20"/>
                <w:szCs w:val="20"/>
              </w:rPr>
            </w:pPr>
            <w:r w:rsidRPr="00560576">
              <w:rPr>
                <w:rFonts w:cstheme="minorHAnsi"/>
                <w:b/>
                <w:color w:val="FFFFFF" w:themeColor="background1"/>
                <w:sz w:val="20"/>
                <w:szCs w:val="20"/>
              </w:rPr>
              <w:t>RTA</w:t>
            </w:r>
          </w:p>
        </w:tc>
        <w:tc>
          <w:tcPr>
            <w:tcW w:w="1770" w:type="dxa"/>
            <w:shd w:val="clear" w:color="auto" w:fill="4F81BD" w:themeFill="accent1"/>
          </w:tcPr>
          <w:p w:rsidR="00790F02" w:rsidRPr="00560576" w:rsidRDefault="00790F02" w:rsidP="00125785">
            <w:pPr>
              <w:jc w:val="center"/>
              <w:rPr>
                <w:rFonts w:cstheme="minorHAnsi"/>
                <w:b/>
                <w:color w:val="FFFFFF" w:themeColor="background1"/>
                <w:sz w:val="20"/>
                <w:szCs w:val="20"/>
              </w:rPr>
            </w:pPr>
            <w:r w:rsidRPr="00560576">
              <w:rPr>
                <w:rFonts w:cstheme="minorHAnsi"/>
                <w:b/>
                <w:color w:val="FFFFFF" w:themeColor="background1"/>
                <w:sz w:val="20"/>
                <w:szCs w:val="20"/>
              </w:rPr>
              <w:t>Student/</w:t>
            </w:r>
            <w:r w:rsidR="00125785" w:rsidRPr="00560576">
              <w:rPr>
                <w:rFonts w:cstheme="minorHAnsi"/>
                <w:b/>
                <w:color w:val="FFFFFF" w:themeColor="background1"/>
                <w:sz w:val="20"/>
                <w:szCs w:val="20"/>
              </w:rPr>
              <w:t>UPASS</w:t>
            </w:r>
          </w:p>
        </w:tc>
        <w:tc>
          <w:tcPr>
            <w:tcW w:w="1737" w:type="dxa"/>
            <w:shd w:val="clear" w:color="auto" w:fill="4F81BD" w:themeFill="accent1"/>
          </w:tcPr>
          <w:p w:rsidR="00790F02" w:rsidRPr="00560576" w:rsidRDefault="00790F02" w:rsidP="00790F02">
            <w:pPr>
              <w:jc w:val="center"/>
              <w:rPr>
                <w:rFonts w:cstheme="minorHAnsi"/>
                <w:b/>
                <w:color w:val="FFFFFF" w:themeColor="background1"/>
                <w:sz w:val="20"/>
                <w:szCs w:val="20"/>
              </w:rPr>
            </w:pPr>
            <w:r w:rsidRPr="00560576">
              <w:rPr>
                <w:rFonts w:cstheme="minorHAnsi"/>
                <w:b/>
                <w:color w:val="FFFFFF" w:themeColor="background1"/>
                <w:sz w:val="20"/>
                <w:szCs w:val="20"/>
              </w:rPr>
              <w:t>Other</w:t>
            </w:r>
          </w:p>
        </w:tc>
      </w:tr>
      <w:tr w:rsidR="006C340F" w:rsidRPr="00B74DD8" w:rsidTr="00560576">
        <w:tc>
          <w:tcPr>
            <w:tcW w:w="2741" w:type="dxa"/>
            <w:shd w:val="clear" w:color="auto" w:fill="FFFFFF" w:themeFill="background1"/>
          </w:tcPr>
          <w:p w:rsidR="006C340F" w:rsidRPr="00B74DD8" w:rsidRDefault="006C340F" w:rsidP="00ED3FD4">
            <w:pPr>
              <w:rPr>
                <w:rFonts w:cstheme="minorHAnsi"/>
                <w:b/>
                <w:color w:val="FFFFFF" w:themeColor="background1"/>
                <w:sz w:val="20"/>
                <w:szCs w:val="20"/>
              </w:rPr>
            </w:pPr>
            <w:r w:rsidRPr="00560576">
              <w:rPr>
                <w:rFonts w:cstheme="minorHAnsi"/>
                <w:b/>
                <w:sz w:val="20"/>
                <w:szCs w:val="20"/>
              </w:rPr>
              <w:t xml:space="preserve">Active Accounts as of </w:t>
            </w:r>
            <w:r w:rsidR="00F93418">
              <w:rPr>
                <w:rFonts w:cstheme="minorHAnsi"/>
                <w:b/>
                <w:sz w:val="20"/>
                <w:szCs w:val="20"/>
              </w:rPr>
              <w:t>Jan. 2</w:t>
            </w:r>
            <w:r w:rsidR="00C65AEC">
              <w:rPr>
                <w:rFonts w:cstheme="minorHAnsi"/>
                <w:b/>
                <w:sz w:val="20"/>
                <w:szCs w:val="20"/>
              </w:rPr>
              <w:t>8</w:t>
            </w:r>
          </w:p>
        </w:tc>
        <w:tc>
          <w:tcPr>
            <w:tcW w:w="1621" w:type="dxa"/>
          </w:tcPr>
          <w:p w:rsidR="006C340F" w:rsidRPr="002B107A" w:rsidRDefault="00166197" w:rsidP="00B17A74">
            <w:pPr>
              <w:jc w:val="center"/>
              <w:rPr>
                <w:rFonts w:cstheme="minorHAnsi"/>
                <w:sz w:val="20"/>
                <w:szCs w:val="20"/>
              </w:rPr>
            </w:pPr>
            <w:r>
              <w:rPr>
                <w:rFonts w:cstheme="minorHAnsi"/>
                <w:sz w:val="20"/>
                <w:szCs w:val="20"/>
              </w:rPr>
              <w:t>73</w:t>
            </w:r>
            <w:r w:rsidR="00B17A74">
              <w:rPr>
                <w:rFonts w:cstheme="minorHAnsi"/>
                <w:sz w:val="20"/>
                <w:szCs w:val="20"/>
              </w:rPr>
              <w:t>4</w:t>
            </w:r>
            <w:r>
              <w:rPr>
                <w:rFonts w:cstheme="minorHAnsi"/>
                <w:sz w:val="20"/>
                <w:szCs w:val="20"/>
              </w:rPr>
              <w:t>,</w:t>
            </w:r>
            <w:r w:rsidR="00B17A74">
              <w:rPr>
                <w:rFonts w:cstheme="minorHAnsi"/>
                <w:sz w:val="20"/>
                <w:szCs w:val="20"/>
              </w:rPr>
              <w:t>621</w:t>
            </w:r>
          </w:p>
        </w:tc>
        <w:tc>
          <w:tcPr>
            <w:tcW w:w="1491" w:type="dxa"/>
          </w:tcPr>
          <w:p w:rsidR="006C340F" w:rsidRPr="002B107A" w:rsidRDefault="00166197" w:rsidP="00B17A74">
            <w:pPr>
              <w:jc w:val="center"/>
              <w:rPr>
                <w:rFonts w:cstheme="minorHAnsi"/>
                <w:sz w:val="20"/>
                <w:szCs w:val="20"/>
              </w:rPr>
            </w:pPr>
            <w:r>
              <w:rPr>
                <w:rFonts w:cstheme="minorHAnsi"/>
                <w:sz w:val="20"/>
                <w:szCs w:val="20"/>
              </w:rPr>
              <w:t>28</w:t>
            </w:r>
            <w:r w:rsidR="00B17A74">
              <w:rPr>
                <w:rFonts w:cstheme="minorHAnsi"/>
                <w:sz w:val="20"/>
                <w:szCs w:val="20"/>
              </w:rPr>
              <w:t>8</w:t>
            </w:r>
            <w:r>
              <w:rPr>
                <w:rFonts w:cstheme="minorHAnsi"/>
                <w:sz w:val="20"/>
                <w:szCs w:val="20"/>
              </w:rPr>
              <w:t>,2</w:t>
            </w:r>
            <w:r w:rsidR="00B17A74">
              <w:rPr>
                <w:rFonts w:cstheme="minorHAnsi"/>
                <w:sz w:val="20"/>
                <w:szCs w:val="20"/>
              </w:rPr>
              <w:t>88</w:t>
            </w:r>
          </w:p>
        </w:tc>
        <w:tc>
          <w:tcPr>
            <w:tcW w:w="1770" w:type="dxa"/>
          </w:tcPr>
          <w:p w:rsidR="006C340F" w:rsidRPr="002B107A" w:rsidRDefault="00166197" w:rsidP="00B17A74">
            <w:pPr>
              <w:jc w:val="center"/>
              <w:rPr>
                <w:rFonts w:cstheme="minorHAnsi"/>
                <w:sz w:val="20"/>
                <w:szCs w:val="20"/>
              </w:rPr>
            </w:pPr>
            <w:r>
              <w:rPr>
                <w:rFonts w:cstheme="minorHAnsi"/>
                <w:sz w:val="20"/>
                <w:szCs w:val="20"/>
              </w:rPr>
              <w:t>23</w:t>
            </w:r>
            <w:r w:rsidR="00B17A74">
              <w:rPr>
                <w:rFonts w:cstheme="minorHAnsi"/>
                <w:sz w:val="20"/>
                <w:szCs w:val="20"/>
              </w:rPr>
              <w:t>8</w:t>
            </w:r>
            <w:r>
              <w:rPr>
                <w:rFonts w:cstheme="minorHAnsi"/>
                <w:sz w:val="20"/>
                <w:szCs w:val="20"/>
              </w:rPr>
              <w:t>,</w:t>
            </w:r>
            <w:r w:rsidR="00B17A74">
              <w:rPr>
                <w:rFonts w:cstheme="minorHAnsi"/>
                <w:sz w:val="20"/>
                <w:szCs w:val="20"/>
              </w:rPr>
              <w:t>617</w:t>
            </w:r>
          </w:p>
        </w:tc>
        <w:tc>
          <w:tcPr>
            <w:tcW w:w="1737" w:type="dxa"/>
          </w:tcPr>
          <w:p w:rsidR="006C340F" w:rsidRPr="002B107A" w:rsidRDefault="00166197" w:rsidP="00B17A74">
            <w:pPr>
              <w:jc w:val="center"/>
              <w:rPr>
                <w:rFonts w:cstheme="minorHAnsi"/>
                <w:sz w:val="20"/>
                <w:szCs w:val="20"/>
              </w:rPr>
            </w:pPr>
            <w:r>
              <w:rPr>
                <w:rFonts w:cstheme="minorHAnsi"/>
                <w:sz w:val="20"/>
                <w:szCs w:val="20"/>
              </w:rPr>
              <w:t>10</w:t>
            </w:r>
            <w:r w:rsidR="00B17A74">
              <w:rPr>
                <w:rFonts w:cstheme="minorHAnsi"/>
                <w:sz w:val="20"/>
                <w:szCs w:val="20"/>
              </w:rPr>
              <w:t>4</w:t>
            </w:r>
            <w:r>
              <w:rPr>
                <w:rFonts w:cstheme="minorHAnsi"/>
                <w:sz w:val="20"/>
                <w:szCs w:val="20"/>
              </w:rPr>
              <w:t>,</w:t>
            </w:r>
            <w:r w:rsidR="00B17A74">
              <w:rPr>
                <w:rFonts w:cstheme="minorHAnsi"/>
                <w:sz w:val="20"/>
                <w:szCs w:val="20"/>
              </w:rPr>
              <w:t>473</w:t>
            </w:r>
          </w:p>
        </w:tc>
      </w:tr>
    </w:tbl>
    <w:p w:rsidR="00790F02" w:rsidRPr="00E2706B" w:rsidRDefault="00790F02" w:rsidP="00B111ED">
      <w:pPr>
        <w:spacing w:after="0" w:line="240" w:lineRule="auto"/>
        <w:rPr>
          <w:rFonts w:cstheme="minorHAnsi"/>
          <w:color w:val="1F497D" w:themeColor="text2"/>
          <w:sz w:val="12"/>
          <w:szCs w:val="12"/>
        </w:rPr>
      </w:pPr>
    </w:p>
    <w:p w:rsidR="00E77ABA" w:rsidRPr="00E2706B" w:rsidRDefault="00E77ABA" w:rsidP="00B111ED">
      <w:pPr>
        <w:spacing w:after="0" w:line="240" w:lineRule="auto"/>
        <w:rPr>
          <w:rFonts w:cstheme="minorHAnsi"/>
        </w:rPr>
      </w:pPr>
      <w:r w:rsidRPr="00E2706B">
        <w:rPr>
          <w:rFonts w:cstheme="minorHAnsi"/>
        </w:rPr>
        <w:t>The “Other” category in the above graphic</w:t>
      </w:r>
      <w:r w:rsidR="00790F02" w:rsidRPr="00E2706B">
        <w:rPr>
          <w:rFonts w:cstheme="minorHAnsi"/>
        </w:rPr>
        <w:t xml:space="preserve"> and table</w:t>
      </w:r>
      <w:r w:rsidRPr="00E2706B">
        <w:rPr>
          <w:rFonts w:cstheme="minorHAnsi"/>
        </w:rPr>
        <w:t xml:space="preserve"> includes: Active and Disabled Military, Student/Child, O'Hare Employee</w:t>
      </w:r>
      <w:r w:rsidR="00EB38C5" w:rsidRPr="00E2706B">
        <w:rPr>
          <w:rFonts w:cstheme="minorHAnsi"/>
        </w:rPr>
        <w:t>s,</w:t>
      </w:r>
      <w:r w:rsidR="00C77186" w:rsidRPr="00E2706B">
        <w:rPr>
          <w:rFonts w:cstheme="minorHAnsi"/>
        </w:rPr>
        <w:t xml:space="preserve"> etc.</w:t>
      </w:r>
    </w:p>
    <w:p w:rsidR="00892C8D" w:rsidRDefault="00892C8D" w:rsidP="00B111ED">
      <w:pPr>
        <w:spacing w:after="0" w:line="240" w:lineRule="auto"/>
        <w:rPr>
          <w:b/>
          <w:u w:val="single"/>
        </w:rPr>
      </w:pPr>
    </w:p>
    <w:p w:rsidR="003F2951" w:rsidRPr="00F421A1" w:rsidRDefault="003F2951" w:rsidP="00B111ED">
      <w:pPr>
        <w:spacing w:after="0" w:line="240" w:lineRule="auto"/>
        <w:rPr>
          <w:b/>
          <w:u w:val="single"/>
        </w:rPr>
      </w:pPr>
      <w:r w:rsidRPr="00F421A1">
        <w:rPr>
          <w:b/>
          <w:u w:val="single"/>
        </w:rPr>
        <w:t>Call Center</w:t>
      </w:r>
    </w:p>
    <w:p w:rsidR="003F6C7D" w:rsidRPr="00B36637" w:rsidRDefault="003F6C7D" w:rsidP="00B111ED">
      <w:pPr>
        <w:spacing w:after="0" w:line="240" w:lineRule="auto"/>
        <w:rPr>
          <w:sz w:val="12"/>
          <w:szCs w:val="12"/>
        </w:rPr>
      </w:pPr>
    </w:p>
    <w:p w:rsidR="00FB63B3" w:rsidRDefault="00182640" w:rsidP="007D71B6">
      <w:pPr>
        <w:spacing w:after="0" w:line="240" w:lineRule="auto"/>
        <w:rPr>
          <w:rFonts w:cstheme="minorHAnsi"/>
        </w:rPr>
      </w:pPr>
      <w:r w:rsidRPr="00E2706B">
        <w:rPr>
          <w:rFonts w:cstheme="minorHAnsi"/>
        </w:rPr>
        <w:t xml:space="preserve">The </w:t>
      </w:r>
      <w:r w:rsidRPr="00C23135">
        <w:rPr>
          <w:rFonts w:cstheme="minorHAnsi"/>
        </w:rPr>
        <w:t>following data set</w:t>
      </w:r>
      <w:r w:rsidR="00B54675">
        <w:rPr>
          <w:rFonts w:cstheme="minorHAnsi"/>
        </w:rPr>
        <w:t xml:space="preserve">s provide detail on the Ventra Call Center. </w:t>
      </w:r>
      <w:r w:rsidR="00A23D93">
        <w:rPr>
          <w:rFonts w:cstheme="minorHAnsi"/>
        </w:rPr>
        <w:t xml:space="preserve"> </w:t>
      </w:r>
      <w:r w:rsidR="00752F71" w:rsidRPr="00E32B6C">
        <w:rPr>
          <w:rFonts w:cstheme="minorHAnsi"/>
        </w:rPr>
        <w:t>In November</w:t>
      </w:r>
      <w:r w:rsidR="00EB38C5" w:rsidRPr="0072105C">
        <w:rPr>
          <w:rFonts w:cstheme="minorHAnsi"/>
        </w:rPr>
        <w:t>, the CTA directed Cubic to hire Convergys, a</w:t>
      </w:r>
      <w:r w:rsidR="00EB38C5" w:rsidRPr="00E2706B">
        <w:rPr>
          <w:rFonts w:cstheme="minorHAnsi"/>
        </w:rPr>
        <w:t xml:space="preserve"> leading national call center company</w:t>
      </w:r>
      <w:r w:rsidR="0031437F">
        <w:rPr>
          <w:rFonts w:cstheme="minorHAnsi"/>
        </w:rPr>
        <w:t>,</w:t>
      </w:r>
      <w:r w:rsidR="00EB38C5" w:rsidRPr="00E2706B">
        <w:rPr>
          <w:rFonts w:cstheme="minorHAnsi"/>
        </w:rPr>
        <w:t xml:space="preserve"> to monitor call center performance and recommend quick improvements to elevate the quality of the centers. </w:t>
      </w:r>
      <w:r w:rsidR="00A23D93">
        <w:rPr>
          <w:rFonts w:cstheme="minorHAnsi"/>
        </w:rPr>
        <w:t xml:space="preserve"> </w:t>
      </w:r>
      <w:r w:rsidR="00EB38C5" w:rsidRPr="00E2706B">
        <w:rPr>
          <w:rFonts w:cstheme="minorHAnsi"/>
        </w:rPr>
        <w:t>Cubic is paying for these services.</w:t>
      </w:r>
      <w:r w:rsidR="004D47C7">
        <w:rPr>
          <w:rFonts w:cstheme="minorHAnsi"/>
        </w:rPr>
        <w:t xml:space="preserve"> The c</w:t>
      </w:r>
      <w:r w:rsidR="004D47C7" w:rsidRPr="004D47C7">
        <w:rPr>
          <w:rFonts w:cstheme="minorHAnsi"/>
        </w:rPr>
        <w:t xml:space="preserve">all </w:t>
      </w:r>
      <w:r w:rsidR="004D47C7">
        <w:rPr>
          <w:rFonts w:cstheme="minorHAnsi"/>
        </w:rPr>
        <w:t>c</w:t>
      </w:r>
      <w:r w:rsidR="004D47C7" w:rsidRPr="004D47C7">
        <w:rPr>
          <w:rFonts w:cstheme="minorHAnsi"/>
        </w:rPr>
        <w:t>enter continues to make enhancements to improve the customer experience.  Some of the quality assurance strategies recently implemented include ongoing, proactive outbound calls and surveys to customers to ensure issue resolution.</w:t>
      </w:r>
      <w:r w:rsidR="00806C9D">
        <w:rPr>
          <w:rFonts w:cstheme="minorHAnsi"/>
        </w:rPr>
        <w:t xml:space="preserve"> </w:t>
      </w:r>
      <w:r w:rsidR="00966133">
        <w:rPr>
          <w:rFonts w:cstheme="minorHAnsi"/>
        </w:rPr>
        <w:t xml:space="preserve"> </w:t>
      </w:r>
    </w:p>
    <w:p w:rsidR="00FB63B3" w:rsidRDefault="00FB63B3" w:rsidP="007D71B6">
      <w:pPr>
        <w:spacing w:after="0" w:line="240" w:lineRule="auto"/>
        <w:rPr>
          <w:rFonts w:cstheme="minorHAnsi"/>
        </w:rPr>
      </w:pPr>
    </w:p>
    <w:p w:rsidR="005955F4" w:rsidRDefault="005955F4">
      <w:pPr>
        <w:rPr>
          <w:rFonts w:cstheme="minorHAnsi"/>
        </w:rPr>
      </w:pPr>
      <w:r>
        <w:rPr>
          <w:rFonts w:cstheme="minorHAnsi"/>
        </w:rPr>
        <w:br w:type="page"/>
      </w:r>
    </w:p>
    <w:p w:rsidR="00B54675" w:rsidRPr="00032980" w:rsidRDefault="00B54675" w:rsidP="00B111ED">
      <w:pPr>
        <w:spacing w:after="0" w:line="240" w:lineRule="auto"/>
        <w:rPr>
          <w:rFonts w:cstheme="minorHAnsi"/>
        </w:rPr>
      </w:pPr>
      <w:r>
        <w:rPr>
          <w:rFonts w:cstheme="minorHAnsi"/>
        </w:rPr>
        <w:lastRenderedPageBreak/>
        <w:t xml:space="preserve">The graphic below </w:t>
      </w:r>
      <w:r w:rsidRPr="00C23135">
        <w:rPr>
          <w:rFonts w:cstheme="minorHAnsi"/>
        </w:rPr>
        <w:t xml:space="preserve">represents the volume of calls received by the Ventra Call Center on a daily basis </w:t>
      </w:r>
      <w:r w:rsidR="005B699B" w:rsidRPr="00E16B71">
        <w:rPr>
          <w:rFonts w:cstheme="minorHAnsi"/>
        </w:rPr>
        <w:t>from November 2</w:t>
      </w:r>
      <w:r w:rsidR="002B107A">
        <w:rPr>
          <w:rFonts w:cstheme="minorHAnsi"/>
        </w:rPr>
        <w:t>9</w:t>
      </w:r>
      <w:r w:rsidRPr="00E16B71">
        <w:rPr>
          <w:rFonts w:cstheme="minorHAnsi"/>
        </w:rPr>
        <w:t xml:space="preserve"> </w:t>
      </w:r>
      <w:r w:rsidR="003045AA" w:rsidRPr="00E16B71">
        <w:rPr>
          <w:rFonts w:cstheme="minorHAnsi"/>
        </w:rPr>
        <w:t>through</w:t>
      </w:r>
      <w:r w:rsidR="00FE1287">
        <w:rPr>
          <w:rFonts w:cstheme="minorHAnsi"/>
        </w:rPr>
        <w:t xml:space="preserve"> January 2</w:t>
      </w:r>
      <w:r w:rsidR="00FF2100">
        <w:rPr>
          <w:rFonts w:cstheme="minorHAnsi"/>
        </w:rPr>
        <w:t>8</w:t>
      </w:r>
      <w:r>
        <w:rPr>
          <w:rFonts w:cstheme="minorHAnsi"/>
        </w:rPr>
        <w:t xml:space="preserve"> The data demonstrates a significant decrease in </w:t>
      </w:r>
      <w:r w:rsidR="00D214FD">
        <w:rPr>
          <w:rFonts w:cstheme="minorHAnsi"/>
        </w:rPr>
        <w:t xml:space="preserve">average </w:t>
      </w:r>
      <w:r>
        <w:rPr>
          <w:rFonts w:cstheme="minorHAnsi"/>
        </w:rPr>
        <w:t xml:space="preserve">daily call volume </w:t>
      </w:r>
      <w:r w:rsidR="00287AE0">
        <w:rPr>
          <w:rFonts w:cstheme="minorHAnsi"/>
        </w:rPr>
        <w:t>since November</w:t>
      </w:r>
      <w:r>
        <w:rPr>
          <w:rFonts w:cstheme="minorHAnsi"/>
        </w:rPr>
        <w:t xml:space="preserve">. </w:t>
      </w:r>
    </w:p>
    <w:p w:rsidR="009068D0" w:rsidRDefault="009068D0" w:rsidP="00676E2D">
      <w:pPr>
        <w:spacing w:after="0" w:line="240" w:lineRule="auto"/>
        <w:rPr>
          <w:rFonts w:cstheme="minorHAnsi"/>
        </w:rPr>
      </w:pPr>
    </w:p>
    <w:p w:rsidR="00752A4D" w:rsidRDefault="00DD4C9B" w:rsidP="00676E2D">
      <w:pPr>
        <w:spacing w:after="0" w:line="240" w:lineRule="auto"/>
        <w:rPr>
          <w:rFonts w:cstheme="minorHAnsi"/>
        </w:rPr>
      </w:pPr>
      <w:r>
        <w:rPr>
          <w:noProof/>
        </w:rPr>
        <w:drawing>
          <wp:inline distT="0" distB="0" distL="0" distR="0" wp14:anchorId="4190F8F7" wp14:editId="71ABFF3C">
            <wp:extent cx="5943600" cy="22860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068D0" w:rsidRDefault="009068D0" w:rsidP="00676E2D">
      <w:pPr>
        <w:spacing w:after="0" w:line="240" w:lineRule="auto"/>
        <w:rPr>
          <w:rFonts w:cstheme="minorHAnsi"/>
        </w:rPr>
      </w:pPr>
    </w:p>
    <w:p w:rsidR="00936FB1" w:rsidRDefault="00936FB1" w:rsidP="00676E2D">
      <w:pPr>
        <w:spacing w:after="0" w:line="240" w:lineRule="auto"/>
        <w:rPr>
          <w:rFonts w:cstheme="minorHAnsi"/>
        </w:rPr>
      </w:pPr>
      <w:r>
        <w:rPr>
          <w:rFonts w:cstheme="minorHAnsi"/>
        </w:rPr>
        <w:t xml:space="preserve">The following </w:t>
      </w:r>
      <w:r w:rsidR="00B54675">
        <w:rPr>
          <w:rFonts w:cstheme="minorHAnsi"/>
        </w:rPr>
        <w:t>graphic illustrates</w:t>
      </w:r>
      <w:r>
        <w:rPr>
          <w:rFonts w:cstheme="minorHAnsi"/>
        </w:rPr>
        <w:t xml:space="preserve"> the disposition of calls received by the </w:t>
      </w:r>
      <w:r w:rsidR="00B54675">
        <w:rPr>
          <w:rFonts w:cstheme="minorHAnsi"/>
        </w:rPr>
        <w:t xml:space="preserve">Ventra </w:t>
      </w:r>
      <w:r>
        <w:rPr>
          <w:rFonts w:cstheme="minorHAnsi"/>
        </w:rPr>
        <w:t xml:space="preserve">Call Center since </w:t>
      </w:r>
      <w:r w:rsidR="00FE1287">
        <w:rPr>
          <w:rFonts w:cstheme="minorHAnsi"/>
        </w:rPr>
        <w:t xml:space="preserve">January </w:t>
      </w:r>
      <w:r w:rsidR="00FF2100">
        <w:rPr>
          <w:rFonts w:cstheme="minorHAnsi"/>
        </w:rPr>
        <w:t>15</w:t>
      </w:r>
      <w:r>
        <w:rPr>
          <w:rFonts w:cstheme="minorHAnsi"/>
        </w:rPr>
        <w:t xml:space="preserve">. The data </w:t>
      </w:r>
      <w:r w:rsidR="00FB63B3">
        <w:rPr>
          <w:rFonts w:cstheme="minorHAnsi"/>
        </w:rPr>
        <w:t>indicates</w:t>
      </w:r>
      <w:r>
        <w:rPr>
          <w:rFonts w:cstheme="minorHAnsi"/>
        </w:rPr>
        <w:t xml:space="preserve"> that the majority of calls </w:t>
      </w:r>
      <w:r w:rsidR="00D214FD">
        <w:rPr>
          <w:rFonts w:cstheme="minorHAnsi"/>
        </w:rPr>
        <w:t xml:space="preserve">received by the Ventra Call Center </w:t>
      </w:r>
      <w:r>
        <w:rPr>
          <w:rFonts w:cstheme="minorHAnsi"/>
        </w:rPr>
        <w:t>are answered without being placed in a hold status.</w:t>
      </w:r>
    </w:p>
    <w:p w:rsidR="00936FB1" w:rsidRPr="003149EE" w:rsidRDefault="00936FB1" w:rsidP="00676E2D">
      <w:pPr>
        <w:spacing w:after="0" w:line="240" w:lineRule="auto"/>
        <w:rPr>
          <w:rFonts w:cstheme="minorHAnsi"/>
        </w:rPr>
      </w:pPr>
    </w:p>
    <w:p w:rsidR="00837BAF" w:rsidRDefault="00FF2100" w:rsidP="00676E2D">
      <w:pPr>
        <w:spacing w:after="0" w:line="240" w:lineRule="auto"/>
        <w:rPr>
          <w:rFonts w:cstheme="minorHAnsi"/>
        </w:rPr>
      </w:pPr>
      <w:r>
        <w:rPr>
          <w:noProof/>
        </w:rPr>
        <w:drawing>
          <wp:inline distT="0" distB="0" distL="0" distR="0" wp14:anchorId="6E6B8306" wp14:editId="2D8E827B">
            <wp:extent cx="5943600" cy="22860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F7AF9" w:rsidRDefault="006F7AF9" w:rsidP="00676E2D">
      <w:pPr>
        <w:spacing w:after="0" w:line="240" w:lineRule="auto"/>
        <w:rPr>
          <w:rFonts w:cstheme="minorHAnsi"/>
        </w:rPr>
      </w:pPr>
    </w:p>
    <w:p w:rsidR="005955F4" w:rsidRDefault="005955F4">
      <w:pPr>
        <w:rPr>
          <w:rFonts w:cstheme="minorHAnsi"/>
        </w:rPr>
      </w:pPr>
      <w:r>
        <w:rPr>
          <w:rFonts w:cstheme="minorHAnsi"/>
        </w:rPr>
        <w:br w:type="page"/>
      </w:r>
    </w:p>
    <w:p w:rsidR="00F75EA9" w:rsidRPr="00F75EA9" w:rsidRDefault="00B36637" w:rsidP="00676E2D">
      <w:pPr>
        <w:spacing w:after="0" w:line="240" w:lineRule="auto"/>
        <w:rPr>
          <w:rFonts w:cstheme="minorHAnsi"/>
        </w:rPr>
      </w:pPr>
      <w:r w:rsidRPr="00676E2D">
        <w:rPr>
          <w:rFonts w:cstheme="minorHAnsi"/>
        </w:rPr>
        <w:lastRenderedPageBreak/>
        <w:t>T</w:t>
      </w:r>
      <w:r w:rsidR="00182640" w:rsidRPr="00676E2D">
        <w:rPr>
          <w:rFonts w:cstheme="minorHAnsi"/>
        </w:rPr>
        <w:t xml:space="preserve">he </w:t>
      </w:r>
      <w:r w:rsidR="00182640" w:rsidRPr="00E16B71">
        <w:rPr>
          <w:rFonts w:cstheme="minorHAnsi"/>
        </w:rPr>
        <w:t xml:space="preserve">following graphic represents average hold times </w:t>
      </w:r>
      <w:r w:rsidR="00936FB1" w:rsidRPr="00E16B71">
        <w:rPr>
          <w:rFonts w:cstheme="minorHAnsi"/>
        </w:rPr>
        <w:t>for those calls placed in a hold status</w:t>
      </w:r>
      <w:r w:rsidR="00D3295B" w:rsidRPr="00E16B71">
        <w:rPr>
          <w:rFonts w:cstheme="minorHAnsi"/>
        </w:rPr>
        <w:t xml:space="preserve"> daily </w:t>
      </w:r>
      <w:r w:rsidR="005B699B" w:rsidRPr="00E16B71">
        <w:rPr>
          <w:rFonts w:cstheme="minorHAnsi"/>
        </w:rPr>
        <w:t xml:space="preserve">since </w:t>
      </w:r>
      <w:r w:rsidR="00777DE5">
        <w:rPr>
          <w:rFonts w:cstheme="minorHAnsi"/>
        </w:rPr>
        <w:t>December 2</w:t>
      </w:r>
      <w:r w:rsidR="00FF2100">
        <w:rPr>
          <w:rFonts w:cstheme="minorHAnsi"/>
        </w:rPr>
        <w:t>8</w:t>
      </w:r>
      <w:r w:rsidR="00182640" w:rsidRPr="00E16B71">
        <w:rPr>
          <w:rFonts w:cstheme="minorHAnsi"/>
        </w:rPr>
        <w:t>.</w:t>
      </w:r>
      <w:r w:rsidR="00182640" w:rsidRPr="00676E2D">
        <w:rPr>
          <w:rFonts w:cstheme="minorHAnsi"/>
        </w:rPr>
        <w:t xml:space="preserve"> </w:t>
      </w:r>
      <w:r w:rsidR="00B54675">
        <w:rPr>
          <w:rFonts w:cstheme="minorHAnsi"/>
        </w:rPr>
        <w:t>As previously reported, a</w:t>
      </w:r>
      <w:r w:rsidR="00FB6174" w:rsidRPr="00676E2D">
        <w:rPr>
          <w:rFonts w:cstheme="minorHAnsi"/>
        </w:rPr>
        <w:t xml:space="preserve">verage daily hold times have remained below 5 minutes consistently since mid-November. </w:t>
      </w:r>
      <w:r w:rsidR="00F75EA9">
        <w:rPr>
          <w:rFonts w:cstheme="minorHAnsi"/>
        </w:rPr>
        <w:t xml:space="preserve"> </w:t>
      </w:r>
    </w:p>
    <w:p w:rsidR="003149EE" w:rsidRDefault="003149EE" w:rsidP="00676E2D">
      <w:pPr>
        <w:spacing w:after="0" w:line="240" w:lineRule="auto"/>
        <w:rPr>
          <w:rFonts w:cstheme="minorHAnsi"/>
        </w:rPr>
      </w:pPr>
    </w:p>
    <w:p w:rsidR="003149EE" w:rsidRPr="00676E2D" w:rsidRDefault="00FF2100" w:rsidP="00676E2D">
      <w:pPr>
        <w:spacing w:after="0" w:line="240" w:lineRule="auto"/>
        <w:rPr>
          <w:rFonts w:cstheme="minorHAnsi"/>
        </w:rPr>
      </w:pPr>
      <w:r>
        <w:rPr>
          <w:noProof/>
        </w:rPr>
        <w:drawing>
          <wp:inline distT="0" distB="0" distL="0" distR="0" wp14:anchorId="4F30618E" wp14:editId="0E1B5942">
            <wp:extent cx="5943600" cy="22860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82640" w:rsidRPr="00B36637" w:rsidRDefault="00182640" w:rsidP="00B111ED">
      <w:pPr>
        <w:spacing w:after="0" w:line="240" w:lineRule="auto"/>
        <w:rPr>
          <w:b/>
          <w:sz w:val="12"/>
          <w:szCs w:val="12"/>
          <w:u w:val="single"/>
        </w:rPr>
      </w:pPr>
    </w:p>
    <w:p w:rsidR="008D3A49" w:rsidRPr="00B36637" w:rsidRDefault="008D3A49" w:rsidP="00B111ED">
      <w:pPr>
        <w:spacing w:after="0" w:line="240" w:lineRule="auto"/>
        <w:rPr>
          <w:b/>
          <w:sz w:val="12"/>
          <w:szCs w:val="12"/>
          <w:u w:val="single"/>
        </w:rPr>
      </w:pPr>
    </w:p>
    <w:p w:rsidR="00182640" w:rsidRPr="00F14A99" w:rsidRDefault="00182640" w:rsidP="00182640">
      <w:pPr>
        <w:spacing w:after="0" w:line="240" w:lineRule="auto"/>
        <w:rPr>
          <w:rFonts w:cstheme="minorHAnsi"/>
        </w:rPr>
      </w:pPr>
      <w:r w:rsidRPr="00F14A99">
        <w:rPr>
          <w:rFonts w:cstheme="minorHAnsi"/>
        </w:rPr>
        <w:t xml:space="preserve">Notes: </w:t>
      </w:r>
    </w:p>
    <w:p w:rsidR="00182640" w:rsidRDefault="00182640" w:rsidP="00182640">
      <w:pPr>
        <w:pStyle w:val="ListParagraph"/>
        <w:numPr>
          <w:ilvl w:val="0"/>
          <w:numId w:val="4"/>
        </w:numPr>
        <w:spacing w:after="0" w:line="240" w:lineRule="auto"/>
        <w:ind w:left="540"/>
        <w:rPr>
          <w:rFonts w:cstheme="minorHAnsi"/>
        </w:rPr>
      </w:pPr>
      <w:r w:rsidRPr="00F14A99">
        <w:rPr>
          <w:rFonts w:cstheme="minorHAnsi"/>
        </w:rPr>
        <w:t xml:space="preserve">The hold times presented represent 24-hour average </w:t>
      </w:r>
      <w:r w:rsidR="00246694">
        <w:rPr>
          <w:rFonts w:cstheme="minorHAnsi"/>
        </w:rPr>
        <w:t>hold</w:t>
      </w:r>
      <w:r w:rsidR="00EC63DC">
        <w:rPr>
          <w:rFonts w:cstheme="minorHAnsi"/>
        </w:rPr>
        <w:t xml:space="preserve"> times across all queues.</w:t>
      </w:r>
    </w:p>
    <w:p w:rsidR="00D3295B" w:rsidRPr="00F14A99" w:rsidRDefault="000258F8" w:rsidP="00182640">
      <w:pPr>
        <w:pStyle w:val="ListParagraph"/>
        <w:numPr>
          <w:ilvl w:val="0"/>
          <w:numId w:val="4"/>
        </w:numPr>
        <w:spacing w:after="0" w:line="240" w:lineRule="auto"/>
        <w:ind w:left="540"/>
        <w:rPr>
          <w:rFonts w:cstheme="minorHAnsi"/>
        </w:rPr>
      </w:pPr>
      <w:r>
        <w:rPr>
          <w:rFonts w:cstheme="minorHAnsi"/>
        </w:rPr>
        <w:t>As of December</w:t>
      </w:r>
      <w:r w:rsidR="00D3295B" w:rsidRPr="00E32B6C">
        <w:rPr>
          <w:rFonts w:cstheme="minorHAnsi"/>
        </w:rPr>
        <w:t xml:space="preserve"> 11, customers</w:t>
      </w:r>
      <w:r w:rsidR="00D3295B">
        <w:rPr>
          <w:rFonts w:cstheme="minorHAnsi"/>
        </w:rPr>
        <w:t xml:space="preserve"> were no longer being asked to leave a message for a callback—all calls are being handled by a live, trained operator.</w:t>
      </w:r>
    </w:p>
    <w:p w:rsidR="00296BD5" w:rsidRPr="00B54675" w:rsidRDefault="00296BD5" w:rsidP="00B54675">
      <w:pPr>
        <w:spacing w:after="0" w:line="240" w:lineRule="auto"/>
        <w:rPr>
          <w:rFonts w:cstheme="minorHAnsi"/>
        </w:rPr>
      </w:pPr>
    </w:p>
    <w:p w:rsidR="00676E2D" w:rsidRDefault="00676E2D" w:rsidP="00B54675">
      <w:pPr>
        <w:spacing w:after="0" w:line="240" w:lineRule="auto"/>
        <w:rPr>
          <w:rFonts w:cstheme="minorHAnsi"/>
        </w:rPr>
      </w:pPr>
      <w:r w:rsidRPr="00065A67">
        <w:rPr>
          <w:rFonts w:cstheme="minorHAnsi"/>
        </w:rPr>
        <w:t xml:space="preserve">The following </w:t>
      </w:r>
      <w:r w:rsidR="00B54675" w:rsidRPr="00065A67">
        <w:rPr>
          <w:rFonts w:cstheme="minorHAnsi"/>
        </w:rPr>
        <w:t>graphic</w:t>
      </w:r>
      <w:r w:rsidRPr="00065A67">
        <w:rPr>
          <w:rFonts w:cstheme="minorHAnsi"/>
        </w:rPr>
        <w:t xml:space="preserve"> represent</w:t>
      </w:r>
      <w:r w:rsidR="008D51C3" w:rsidRPr="00065A67">
        <w:rPr>
          <w:rFonts w:cstheme="minorHAnsi"/>
        </w:rPr>
        <w:t>s</w:t>
      </w:r>
      <w:r w:rsidRPr="00065A67">
        <w:rPr>
          <w:rFonts w:cstheme="minorHAnsi"/>
        </w:rPr>
        <w:t xml:space="preserve"> average hold times</w:t>
      </w:r>
      <w:r w:rsidR="00B54675" w:rsidRPr="00065A67">
        <w:rPr>
          <w:rFonts w:cstheme="minorHAnsi"/>
        </w:rPr>
        <w:t xml:space="preserve"> by hour</w:t>
      </w:r>
      <w:r w:rsidRPr="00065A67">
        <w:rPr>
          <w:rFonts w:cstheme="minorHAnsi"/>
        </w:rPr>
        <w:t xml:space="preserve"> </w:t>
      </w:r>
      <w:r w:rsidR="00D3295B" w:rsidRPr="00065A67">
        <w:rPr>
          <w:rFonts w:cstheme="minorHAnsi"/>
        </w:rPr>
        <w:t xml:space="preserve">for calls placed in a hold status </w:t>
      </w:r>
      <w:r w:rsidR="00B54675" w:rsidRPr="00065A67">
        <w:rPr>
          <w:rFonts w:cstheme="minorHAnsi"/>
        </w:rPr>
        <w:t>since</w:t>
      </w:r>
      <w:r w:rsidR="00D47554" w:rsidRPr="00065A67">
        <w:rPr>
          <w:rFonts w:cstheme="minorHAnsi"/>
        </w:rPr>
        <w:t xml:space="preserve"> November 18</w:t>
      </w:r>
      <w:r w:rsidRPr="00065A67">
        <w:rPr>
          <w:rFonts w:cstheme="minorHAnsi"/>
        </w:rPr>
        <w:t>. The</w:t>
      </w:r>
      <w:r w:rsidRPr="00B54675">
        <w:rPr>
          <w:rFonts w:cstheme="minorHAnsi"/>
        </w:rPr>
        <w:t xml:space="preserve"> data indicates that average hold times </w:t>
      </w:r>
      <w:r w:rsidR="005955F4">
        <w:rPr>
          <w:rFonts w:cstheme="minorHAnsi"/>
        </w:rPr>
        <w:t>remain</w:t>
      </w:r>
      <w:r w:rsidRPr="00B54675">
        <w:rPr>
          <w:rFonts w:cstheme="minorHAnsi"/>
        </w:rPr>
        <w:t xml:space="preserve"> below 5 minutes throughout the </w:t>
      </w:r>
      <w:r w:rsidR="00D47554" w:rsidRPr="00B54675">
        <w:rPr>
          <w:rFonts w:cstheme="minorHAnsi"/>
        </w:rPr>
        <w:t xml:space="preserve">daily </w:t>
      </w:r>
      <w:r w:rsidR="0043460E" w:rsidRPr="00B54675">
        <w:rPr>
          <w:rFonts w:cstheme="minorHAnsi"/>
        </w:rPr>
        <w:t>operating period</w:t>
      </w:r>
      <w:r w:rsidRPr="00B54675">
        <w:rPr>
          <w:rFonts w:cstheme="minorHAnsi"/>
        </w:rPr>
        <w:t xml:space="preserve">. </w:t>
      </w:r>
      <w:r w:rsidR="00D3295B">
        <w:rPr>
          <w:rFonts w:cstheme="minorHAnsi"/>
        </w:rPr>
        <w:t xml:space="preserve"> </w:t>
      </w:r>
    </w:p>
    <w:p w:rsidR="00B54675" w:rsidRPr="00B54675" w:rsidRDefault="00B54675" w:rsidP="00B54675">
      <w:pPr>
        <w:spacing w:after="0" w:line="240" w:lineRule="auto"/>
        <w:rPr>
          <w:rFonts w:cstheme="minorHAnsi"/>
        </w:rPr>
      </w:pPr>
    </w:p>
    <w:p w:rsidR="00991F1C" w:rsidRDefault="007A6248" w:rsidP="00936FB1">
      <w:pPr>
        <w:spacing w:after="0"/>
        <w:rPr>
          <w:b/>
          <w:u w:val="single"/>
        </w:rPr>
      </w:pPr>
      <w:r>
        <w:rPr>
          <w:noProof/>
        </w:rPr>
        <w:drawing>
          <wp:inline distT="0" distB="0" distL="0" distR="0" wp14:anchorId="4A3BF631" wp14:editId="79609EFF">
            <wp:extent cx="5943600" cy="22860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96BD5" w:rsidRDefault="00296BD5" w:rsidP="00936FB1">
      <w:pPr>
        <w:spacing w:after="0"/>
        <w:rPr>
          <w:b/>
          <w:u w:val="single"/>
        </w:rPr>
      </w:pPr>
    </w:p>
    <w:p w:rsidR="005955F4" w:rsidRDefault="005955F4">
      <w:pPr>
        <w:rPr>
          <w:b/>
          <w:u w:val="single"/>
        </w:rPr>
      </w:pPr>
      <w:r>
        <w:rPr>
          <w:b/>
          <w:u w:val="single"/>
        </w:rPr>
        <w:br w:type="page"/>
      </w:r>
    </w:p>
    <w:p w:rsidR="00F421A1" w:rsidRPr="00195B4F" w:rsidRDefault="00F421A1" w:rsidP="00936FB1">
      <w:pPr>
        <w:spacing w:after="0"/>
        <w:rPr>
          <w:b/>
          <w:u w:val="single"/>
        </w:rPr>
      </w:pPr>
      <w:r w:rsidRPr="00195B4F">
        <w:rPr>
          <w:b/>
          <w:u w:val="single"/>
        </w:rPr>
        <w:lastRenderedPageBreak/>
        <w:t xml:space="preserve">Tap </w:t>
      </w:r>
      <w:r w:rsidR="00561318">
        <w:rPr>
          <w:b/>
          <w:u w:val="single"/>
        </w:rPr>
        <w:t>T</w:t>
      </w:r>
      <w:r w:rsidRPr="00195B4F">
        <w:rPr>
          <w:b/>
          <w:u w:val="single"/>
        </w:rPr>
        <w:t>imes</w:t>
      </w:r>
    </w:p>
    <w:p w:rsidR="00B111ED" w:rsidRPr="00B36637" w:rsidRDefault="00B111ED" w:rsidP="00B111ED">
      <w:pPr>
        <w:spacing w:after="0" w:line="240" w:lineRule="auto"/>
        <w:rPr>
          <w:sz w:val="12"/>
          <w:szCs w:val="12"/>
        </w:rPr>
      </w:pPr>
    </w:p>
    <w:p w:rsidR="00B36637" w:rsidRPr="00F14A99" w:rsidRDefault="00B36637" w:rsidP="00B111ED">
      <w:pPr>
        <w:spacing w:after="0" w:line="240" w:lineRule="auto"/>
        <w:rPr>
          <w:rFonts w:cstheme="minorHAnsi"/>
        </w:rPr>
      </w:pPr>
      <w:r w:rsidRPr="00F14A99">
        <w:rPr>
          <w:rFonts w:cstheme="minorHAnsi"/>
          <w:b/>
        </w:rPr>
        <w:t xml:space="preserve">Average Tap Time: </w:t>
      </w:r>
      <w:r w:rsidR="00874408" w:rsidRPr="00F14A99">
        <w:rPr>
          <w:rFonts w:cstheme="minorHAnsi"/>
        </w:rPr>
        <w:t>Data represents the average tap time</w:t>
      </w:r>
      <w:r w:rsidR="00874408">
        <w:rPr>
          <w:rFonts w:cstheme="minorHAnsi"/>
        </w:rPr>
        <w:t>s</w:t>
      </w:r>
      <w:r w:rsidR="00874408" w:rsidRPr="00F14A99">
        <w:rPr>
          <w:rFonts w:cstheme="minorHAnsi"/>
        </w:rPr>
        <w:t xml:space="preserve"> for bus and rail based on a </w:t>
      </w:r>
      <w:r w:rsidR="00874408" w:rsidRPr="004169F9">
        <w:rPr>
          <w:rFonts w:cstheme="minorHAnsi"/>
        </w:rPr>
        <w:t xml:space="preserve">sample of </w:t>
      </w:r>
      <w:r w:rsidR="004E333B">
        <w:rPr>
          <w:rFonts w:cstheme="minorHAnsi"/>
        </w:rPr>
        <w:t>5</w:t>
      </w:r>
      <w:r w:rsidR="000B6957">
        <w:rPr>
          <w:rFonts w:cstheme="minorHAnsi"/>
        </w:rPr>
        <w:t>5</w:t>
      </w:r>
      <w:r w:rsidR="004E333B">
        <w:rPr>
          <w:rFonts w:cstheme="minorHAnsi"/>
        </w:rPr>
        <w:t>.</w:t>
      </w:r>
      <w:r w:rsidR="000B6957">
        <w:rPr>
          <w:rFonts w:cstheme="minorHAnsi"/>
        </w:rPr>
        <w:t>0</w:t>
      </w:r>
      <w:r w:rsidR="00874408" w:rsidRPr="004169F9">
        <w:rPr>
          <w:rFonts w:cstheme="minorHAnsi"/>
        </w:rPr>
        <w:t xml:space="preserve"> million transactions</w:t>
      </w:r>
      <w:r w:rsidR="00DB7F53" w:rsidRPr="004169F9">
        <w:rPr>
          <w:rFonts w:cstheme="minorHAnsi"/>
        </w:rPr>
        <w:t xml:space="preserve"> since mid-November</w:t>
      </w:r>
      <w:r w:rsidR="00874408" w:rsidRPr="004169F9">
        <w:rPr>
          <w:rFonts w:cstheme="minorHAnsi"/>
        </w:rPr>
        <w:t xml:space="preserve"> – </w:t>
      </w:r>
      <w:r w:rsidR="00F93418">
        <w:rPr>
          <w:rFonts w:cstheme="minorHAnsi"/>
        </w:rPr>
        <w:t>2</w:t>
      </w:r>
      <w:r w:rsidR="000B6957">
        <w:rPr>
          <w:rFonts w:cstheme="minorHAnsi"/>
        </w:rPr>
        <w:t>9</w:t>
      </w:r>
      <w:r w:rsidR="00F93418">
        <w:rPr>
          <w:rFonts w:cstheme="minorHAnsi"/>
        </w:rPr>
        <w:t>.</w:t>
      </w:r>
      <w:r w:rsidR="000B6957">
        <w:rPr>
          <w:rFonts w:cstheme="minorHAnsi"/>
        </w:rPr>
        <w:t>4</w:t>
      </w:r>
      <w:r w:rsidR="00874408" w:rsidRPr="004169F9">
        <w:rPr>
          <w:rFonts w:cstheme="minorHAnsi"/>
        </w:rPr>
        <w:t xml:space="preserve"> million on bus and </w:t>
      </w:r>
      <w:r w:rsidR="004169F9" w:rsidRPr="004169F9">
        <w:rPr>
          <w:rFonts w:cstheme="minorHAnsi"/>
        </w:rPr>
        <w:t>2</w:t>
      </w:r>
      <w:r w:rsidR="004E333B">
        <w:rPr>
          <w:rFonts w:cstheme="minorHAnsi"/>
        </w:rPr>
        <w:t>5.</w:t>
      </w:r>
      <w:r w:rsidR="000B6957">
        <w:rPr>
          <w:rFonts w:cstheme="minorHAnsi"/>
        </w:rPr>
        <w:t>6</w:t>
      </w:r>
      <w:r w:rsidR="00874408" w:rsidRPr="004169F9">
        <w:rPr>
          <w:rFonts w:cstheme="minorHAnsi"/>
        </w:rPr>
        <w:t xml:space="preserve"> million on rail.</w:t>
      </w:r>
    </w:p>
    <w:p w:rsidR="00B36637" w:rsidRPr="00892C8D" w:rsidRDefault="00B36637" w:rsidP="00B111ED">
      <w:pPr>
        <w:spacing w:after="0" w:line="240" w:lineRule="auto"/>
        <w:rPr>
          <w:rFonts w:cstheme="minorHAnsi"/>
          <w:color w:val="1F497D" w:themeColor="text2"/>
          <w:sz w:val="12"/>
          <w:szCs w:val="1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4"/>
        <w:gridCol w:w="2394"/>
        <w:gridCol w:w="2395"/>
      </w:tblGrid>
      <w:tr w:rsidR="000E4E5D" w:rsidRPr="00B74DD8" w:rsidTr="003045AA">
        <w:trPr>
          <w:jc w:val="center"/>
        </w:trPr>
        <w:tc>
          <w:tcPr>
            <w:tcW w:w="2534" w:type="dxa"/>
            <w:tcBorders>
              <w:top w:val="single" w:sz="4" w:space="0" w:color="auto"/>
              <w:left w:val="single" w:sz="4" w:space="0" w:color="auto"/>
              <w:bottom w:val="single" w:sz="4" w:space="0" w:color="auto"/>
              <w:right w:val="single" w:sz="4" w:space="0" w:color="auto"/>
            </w:tcBorders>
            <w:shd w:val="clear" w:color="auto" w:fill="4F81BD" w:themeFill="accent1"/>
          </w:tcPr>
          <w:p w:rsidR="000E4E5D" w:rsidRPr="00B74DD8" w:rsidRDefault="003045AA" w:rsidP="00FB63B3">
            <w:pPr>
              <w:rPr>
                <w:rFonts w:cstheme="minorHAnsi"/>
                <w:color w:val="1F497D" w:themeColor="text2"/>
                <w:sz w:val="20"/>
                <w:szCs w:val="20"/>
              </w:rPr>
            </w:pPr>
            <w:r w:rsidRPr="003045AA">
              <w:rPr>
                <w:rFonts w:cstheme="minorHAnsi"/>
                <w:b/>
                <w:color w:val="FFFFFF" w:themeColor="background1"/>
                <w:sz w:val="20"/>
                <w:szCs w:val="20"/>
              </w:rPr>
              <w:t>Avg. Tap Time</w:t>
            </w:r>
          </w:p>
        </w:tc>
        <w:tc>
          <w:tcPr>
            <w:tcW w:w="2394" w:type="dxa"/>
            <w:tcBorders>
              <w:top w:val="single" w:sz="4" w:space="0" w:color="auto"/>
              <w:left w:val="single" w:sz="4" w:space="0" w:color="auto"/>
              <w:bottom w:val="single" w:sz="4" w:space="0" w:color="auto"/>
              <w:right w:val="single" w:sz="4" w:space="0" w:color="auto"/>
            </w:tcBorders>
            <w:shd w:val="clear" w:color="auto" w:fill="4F81BD" w:themeFill="accent1"/>
          </w:tcPr>
          <w:p w:rsidR="000E4E5D" w:rsidRPr="00B74DD8" w:rsidRDefault="000E4E5D" w:rsidP="00B36637">
            <w:pPr>
              <w:jc w:val="center"/>
              <w:rPr>
                <w:rFonts w:cstheme="minorHAnsi"/>
                <w:b/>
                <w:color w:val="FFFFFF" w:themeColor="background1"/>
                <w:sz w:val="20"/>
                <w:szCs w:val="20"/>
              </w:rPr>
            </w:pPr>
            <w:r w:rsidRPr="00B74DD8">
              <w:rPr>
                <w:rFonts w:cstheme="minorHAnsi"/>
                <w:b/>
                <w:color w:val="FFFFFF" w:themeColor="background1"/>
                <w:sz w:val="20"/>
                <w:szCs w:val="20"/>
              </w:rPr>
              <w:t>Bus</w:t>
            </w:r>
          </w:p>
        </w:tc>
        <w:tc>
          <w:tcPr>
            <w:tcW w:w="2395" w:type="dxa"/>
            <w:tcBorders>
              <w:top w:val="single" w:sz="4" w:space="0" w:color="auto"/>
              <w:left w:val="single" w:sz="4" w:space="0" w:color="auto"/>
              <w:bottom w:val="single" w:sz="4" w:space="0" w:color="auto"/>
              <w:right w:val="single" w:sz="4" w:space="0" w:color="auto"/>
            </w:tcBorders>
            <w:shd w:val="clear" w:color="auto" w:fill="4F81BD" w:themeFill="accent1"/>
          </w:tcPr>
          <w:p w:rsidR="000E4E5D" w:rsidRPr="00B74DD8" w:rsidRDefault="000E4E5D" w:rsidP="00B36637">
            <w:pPr>
              <w:jc w:val="center"/>
              <w:rPr>
                <w:rFonts w:cstheme="minorHAnsi"/>
                <w:b/>
                <w:color w:val="FFFFFF" w:themeColor="background1"/>
                <w:sz w:val="20"/>
                <w:szCs w:val="20"/>
              </w:rPr>
            </w:pPr>
            <w:r w:rsidRPr="00B74DD8">
              <w:rPr>
                <w:rFonts w:cstheme="minorHAnsi"/>
                <w:b/>
                <w:color w:val="FFFFFF" w:themeColor="background1"/>
                <w:sz w:val="20"/>
                <w:szCs w:val="20"/>
              </w:rPr>
              <w:t>Rail</w:t>
            </w:r>
          </w:p>
        </w:tc>
      </w:tr>
      <w:tr w:rsidR="00874408" w:rsidRPr="00F14A99" w:rsidTr="003045AA">
        <w:trPr>
          <w:jc w:val="center"/>
        </w:trPr>
        <w:tc>
          <w:tcPr>
            <w:tcW w:w="2534" w:type="dxa"/>
            <w:tcBorders>
              <w:top w:val="single" w:sz="4" w:space="0" w:color="auto"/>
              <w:left w:val="single" w:sz="4" w:space="0" w:color="auto"/>
              <w:bottom w:val="single" w:sz="4" w:space="0" w:color="auto"/>
              <w:right w:val="single" w:sz="4" w:space="0" w:color="auto"/>
            </w:tcBorders>
          </w:tcPr>
          <w:p w:rsidR="00874408" w:rsidRPr="00F14A99" w:rsidRDefault="00D6055C" w:rsidP="000B6957">
            <w:pPr>
              <w:rPr>
                <w:rFonts w:cstheme="minorHAnsi"/>
                <w:b/>
                <w:sz w:val="20"/>
                <w:szCs w:val="20"/>
              </w:rPr>
            </w:pPr>
            <w:r>
              <w:rPr>
                <w:rFonts w:cstheme="minorHAnsi"/>
                <w:b/>
                <w:sz w:val="20"/>
                <w:szCs w:val="20"/>
              </w:rPr>
              <w:t xml:space="preserve">As of January </w:t>
            </w:r>
            <w:r w:rsidR="001C0358">
              <w:rPr>
                <w:rFonts w:cstheme="minorHAnsi"/>
                <w:b/>
                <w:sz w:val="20"/>
                <w:szCs w:val="20"/>
              </w:rPr>
              <w:t>2</w:t>
            </w:r>
            <w:r w:rsidR="000B6957">
              <w:rPr>
                <w:rFonts w:cstheme="minorHAnsi"/>
                <w:b/>
                <w:sz w:val="20"/>
                <w:szCs w:val="20"/>
              </w:rPr>
              <w:t>8</w:t>
            </w:r>
            <w:r w:rsidR="003045AA">
              <w:rPr>
                <w:rFonts w:cstheme="minorHAnsi"/>
                <w:b/>
                <w:sz w:val="20"/>
                <w:szCs w:val="20"/>
              </w:rPr>
              <w:t>, 2014</w:t>
            </w:r>
          </w:p>
        </w:tc>
        <w:tc>
          <w:tcPr>
            <w:tcW w:w="2394" w:type="dxa"/>
            <w:tcBorders>
              <w:top w:val="single" w:sz="4" w:space="0" w:color="auto"/>
              <w:left w:val="single" w:sz="4" w:space="0" w:color="auto"/>
              <w:bottom w:val="single" w:sz="4" w:space="0" w:color="auto"/>
              <w:right w:val="single" w:sz="4" w:space="0" w:color="auto"/>
            </w:tcBorders>
          </w:tcPr>
          <w:p w:rsidR="00874408" w:rsidRPr="00136035" w:rsidRDefault="00136035" w:rsidP="001C0358">
            <w:pPr>
              <w:jc w:val="center"/>
              <w:rPr>
                <w:rFonts w:cstheme="minorHAnsi"/>
                <w:sz w:val="20"/>
                <w:szCs w:val="20"/>
              </w:rPr>
            </w:pPr>
            <w:r w:rsidRPr="00136035">
              <w:rPr>
                <w:rFonts w:cstheme="minorHAnsi"/>
                <w:sz w:val="20"/>
                <w:szCs w:val="20"/>
              </w:rPr>
              <w:t>0.9</w:t>
            </w:r>
            <w:r w:rsidR="000258F8">
              <w:rPr>
                <w:rFonts w:cstheme="minorHAnsi"/>
                <w:sz w:val="20"/>
                <w:szCs w:val="20"/>
              </w:rPr>
              <w:t>5</w:t>
            </w:r>
            <w:r w:rsidR="00874408" w:rsidRPr="00136035">
              <w:rPr>
                <w:rFonts w:cstheme="minorHAnsi"/>
                <w:sz w:val="20"/>
                <w:szCs w:val="20"/>
              </w:rPr>
              <w:t xml:space="preserve"> Seconds</w:t>
            </w:r>
          </w:p>
        </w:tc>
        <w:tc>
          <w:tcPr>
            <w:tcW w:w="2395" w:type="dxa"/>
            <w:tcBorders>
              <w:top w:val="single" w:sz="4" w:space="0" w:color="auto"/>
              <w:left w:val="single" w:sz="4" w:space="0" w:color="auto"/>
              <w:bottom w:val="single" w:sz="4" w:space="0" w:color="auto"/>
              <w:right w:val="single" w:sz="4" w:space="0" w:color="auto"/>
            </w:tcBorders>
          </w:tcPr>
          <w:p w:rsidR="00874408" w:rsidRPr="00136035" w:rsidRDefault="00874408" w:rsidP="00F95950">
            <w:pPr>
              <w:jc w:val="center"/>
              <w:rPr>
                <w:rFonts w:cstheme="minorHAnsi"/>
                <w:sz w:val="20"/>
                <w:szCs w:val="20"/>
              </w:rPr>
            </w:pPr>
            <w:r w:rsidRPr="00136035">
              <w:rPr>
                <w:rFonts w:cstheme="minorHAnsi"/>
                <w:sz w:val="20"/>
                <w:szCs w:val="20"/>
              </w:rPr>
              <w:t>0.</w:t>
            </w:r>
            <w:r w:rsidR="00136035" w:rsidRPr="00136035">
              <w:rPr>
                <w:rFonts w:cstheme="minorHAnsi"/>
                <w:sz w:val="20"/>
                <w:szCs w:val="20"/>
              </w:rPr>
              <w:t>5</w:t>
            </w:r>
            <w:r w:rsidR="00F95950">
              <w:rPr>
                <w:rFonts w:cstheme="minorHAnsi"/>
                <w:sz w:val="20"/>
                <w:szCs w:val="20"/>
              </w:rPr>
              <w:t>5</w:t>
            </w:r>
            <w:r w:rsidR="00D8039C" w:rsidRPr="00136035">
              <w:rPr>
                <w:rFonts w:cstheme="minorHAnsi"/>
                <w:sz w:val="20"/>
                <w:szCs w:val="20"/>
              </w:rPr>
              <w:t xml:space="preserve"> </w:t>
            </w:r>
            <w:r w:rsidRPr="00136035">
              <w:rPr>
                <w:rFonts w:cstheme="minorHAnsi"/>
                <w:sz w:val="20"/>
                <w:szCs w:val="20"/>
              </w:rPr>
              <w:t>Seconds</w:t>
            </w:r>
          </w:p>
        </w:tc>
      </w:tr>
      <w:tr w:rsidR="003045AA" w:rsidRPr="00F14A99" w:rsidTr="003045AA">
        <w:trPr>
          <w:jc w:val="center"/>
        </w:trPr>
        <w:tc>
          <w:tcPr>
            <w:tcW w:w="2534" w:type="dxa"/>
            <w:tcBorders>
              <w:top w:val="single" w:sz="4" w:space="0" w:color="auto"/>
              <w:left w:val="single" w:sz="4" w:space="0" w:color="auto"/>
              <w:bottom w:val="single" w:sz="4" w:space="0" w:color="auto"/>
              <w:right w:val="single" w:sz="4" w:space="0" w:color="auto"/>
            </w:tcBorders>
          </w:tcPr>
          <w:p w:rsidR="003045AA" w:rsidRPr="00F14A99" w:rsidRDefault="003045AA" w:rsidP="00C041FB">
            <w:pPr>
              <w:rPr>
                <w:rFonts w:cstheme="minorHAnsi"/>
                <w:b/>
                <w:sz w:val="20"/>
                <w:szCs w:val="20"/>
              </w:rPr>
            </w:pPr>
            <w:r>
              <w:rPr>
                <w:rFonts w:cstheme="minorHAnsi"/>
                <w:b/>
                <w:sz w:val="20"/>
                <w:szCs w:val="20"/>
              </w:rPr>
              <w:t>As of December 17, 2013</w:t>
            </w:r>
          </w:p>
        </w:tc>
        <w:tc>
          <w:tcPr>
            <w:tcW w:w="2394" w:type="dxa"/>
            <w:tcBorders>
              <w:top w:val="single" w:sz="4" w:space="0" w:color="auto"/>
              <w:left w:val="single" w:sz="4" w:space="0" w:color="auto"/>
              <w:bottom w:val="single" w:sz="4" w:space="0" w:color="auto"/>
              <w:right w:val="single" w:sz="4" w:space="0" w:color="auto"/>
            </w:tcBorders>
          </w:tcPr>
          <w:p w:rsidR="003045AA" w:rsidRPr="00136035" w:rsidRDefault="003045AA" w:rsidP="00B36637">
            <w:pPr>
              <w:jc w:val="center"/>
              <w:rPr>
                <w:rFonts w:cstheme="minorHAnsi"/>
                <w:sz w:val="20"/>
                <w:szCs w:val="20"/>
              </w:rPr>
            </w:pPr>
            <w:r w:rsidRPr="00136035">
              <w:rPr>
                <w:rFonts w:cstheme="minorHAnsi"/>
                <w:sz w:val="20"/>
                <w:szCs w:val="20"/>
              </w:rPr>
              <w:t>0.99 Seconds</w:t>
            </w:r>
          </w:p>
        </w:tc>
        <w:tc>
          <w:tcPr>
            <w:tcW w:w="2395" w:type="dxa"/>
            <w:tcBorders>
              <w:top w:val="single" w:sz="4" w:space="0" w:color="auto"/>
              <w:left w:val="single" w:sz="4" w:space="0" w:color="auto"/>
              <w:bottom w:val="single" w:sz="4" w:space="0" w:color="auto"/>
              <w:right w:val="single" w:sz="4" w:space="0" w:color="auto"/>
            </w:tcBorders>
          </w:tcPr>
          <w:p w:rsidR="003045AA" w:rsidRPr="00136035" w:rsidRDefault="003045AA" w:rsidP="00D8039C">
            <w:pPr>
              <w:jc w:val="center"/>
              <w:rPr>
                <w:rFonts w:cstheme="minorHAnsi"/>
                <w:sz w:val="20"/>
                <w:szCs w:val="20"/>
              </w:rPr>
            </w:pPr>
            <w:r w:rsidRPr="00136035">
              <w:rPr>
                <w:rFonts w:cstheme="minorHAnsi"/>
                <w:sz w:val="20"/>
                <w:szCs w:val="20"/>
              </w:rPr>
              <w:t>0.56 Seconds</w:t>
            </w:r>
          </w:p>
        </w:tc>
      </w:tr>
    </w:tbl>
    <w:p w:rsidR="00296BD5" w:rsidRDefault="00296BD5" w:rsidP="00B111ED">
      <w:pPr>
        <w:spacing w:after="0" w:line="240" w:lineRule="auto"/>
        <w:rPr>
          <w:rFonts w:cstheme="minorHAnsi"/>
        </w:rPr>
      </w:pPr>
    </w:p>
    <w:p w:rsidR="0017756B" w:rsidRPr="0017756B" w:rsidRDefault="0017756B" w:rsidP="00B111ED">
      <w:pPr>
        <w:spacing w:after="0" w:line="240" w:lineRule="auto"/>
        <w:rPr>
          <w:rFonts w:cstheme="minorHAnsi"/>
        </w:rPr>
      </w:pPr>
      <w:r w:rsidRPr="0017756B">
        <w:rPr>
          <w:rFonts w:cstheme="minorHAnsi"/>
        </w:rPr>
        <w:t xml:space="preserve">The </w:t>
      </w:r>
      <w:r>
        <w:rPr>
          <w:rFonts w:cstheme="minorHAnsi"/>
        </w:rPr>
        <w:t xml:space="preserve">graphic below illustrates average tap time per day for bus and rail since December 1. </w:t>
      </w:r>
      <w:r w:rsidR="005955F4">
        <w:rPr>
          <w:rFonts w:cstheme="minorHAnsi"/>
        </w:rPr>
        <w:t xml:space="preserve">Overall, modest improvements in average tap times have been realized since mid-December and efforts continue to further improve tap times across the system. </w:t>
      </w:r>
    </w:p>
    <w:p w:rsidR="0017756B" w:rsidRPr="00DB7F53" w:rsidRDefault="0017756B" w:rsidP="00B111ED">
      <w:pPr>
        <w:spacing w:after="0" w:line="240" w:lineRule="auto"/>
        <w:rPr>
          <w:rFonts w:cstheme="minorHAnsi"/>
        </w:rPr>
      </w:pPr>
    </w:p>
    <w:p w:rsidR="001245D2" w:rsidRDefault="003A61DD" w:rsidP="00752F71">
      <w:pPr>
        <w:spacing w:after="0"/>
        <w:rPr>
          <w:rFonts w:cstheme="minorHAnsi"/>
          <w:b/>
        </w:rPr>
      </w:pPr>
      <w:r>
        <w:rPr>
          <w:noProof/>
        </w:rPr>
        <mc:AlternateContent>
          <mc:Choice Requires="wps">
            <w:drawing>
              <wp:anchor distT="0" distB="0" distL="114300" distR="114300" simplePos="0" relativeHeight="251659264" behindDoc="0" locked="0" layoutInCell="1" allowOverlap="1" wp14:anchorId="0AC09DBE" wp14:editId="1A70344E">
                <wp:simplePos x="0" y="0"/>
                <wp:positionH relativeFrom="column">
                  <wp:posOffset>0</wp:posOffset>
                </wp:positionH>
                <wp:positionV relativeFrom="paragraph">
                  <wp:posOffset>817880</wp:posOffset>
                </wp:positionV>
                <wp:extent cx="271780" cy="485775"/>
                <wp:effectExtent l="0" t="0" r="0" b="0"/>
                <wp:wrapNone/>
                <wp:docPr id="14"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780" cy="4857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D94566" w:rsidRPr="00FC1643" w:rsidRDefault="00D94566" w:rsidP="00FC1643">
                            <w:pPr>
                              <w:pStyle w:val="NormalWeb"/>
                              <w:spacing w:before="0" w:beforeAutospacing="0" w:after="0" w:afterAutospacing="0"/>
                              <w:jc w:val="center"/>
                              <w:rPr>
                                <w:sz w:val="14"/>
                                <w:szCs w:val="14"/>
                              </w:rPr>
                            </w:pPr>
                            <w:r w:rsidRPr="00FC1643">
                              <w:rPr>
                                <w:rFonts w:asciiTheme="minorHAnsi" w:hAnsi="Calibri" w:cstheme="minorBidi"/>
                                <w:color w:val="000000" w:themeColor="dark1"/>
                                <w:sz w:val="14"/>
                                <w:szCs w:val="14"/>
                              </w:rPr>
                              <w:t>Seconds</w:t>
                            </w:r>
                          </w:p>
                        </w:txbxContent>
                      </wps:txbx>
                      <wps:bodyPr vertOverflow="clip" horzOverflow="clip" vert="vert270"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64.4pt;width:21.4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" filled="f" stroked="f">
                <v:path arrowok="t"/>
                <v:textbox style="layout-flow:vertical;mso-layout-flow-alt:bottom-to-top">
                  <w:txbxContent>
                    <w:p w:rsidR="00940224" w:rsidRPr="00FC1643" w:rsidRDefault="00940224" w:rsidP="00FC1643">
                      <w:pPr>
                        <w:pStyle w:val="NormalWeb"/>
                        <w:spacing w:before="0" w:beforeAutospacing="0" w:after="0" w:afterAutospacing="0"/>
                        <w:jc w:val="center"/>
                        <w:rPr>
                          <w:sz w:val="14"/>
                          <w:szCs w:val="14"/>
                        </w:rPr>
                      </w:pPr>
                      <w:r w:rsidRPr="00FC1643">
                        <w:rPr>
                          <w:rFonts w:asciiTheme="minorHAnsi" w:hAnsi="Calibri" w:cstheme="minorBidi"/>
                          <w:color w:val="000000" w:themeColor="dark1"/>
                          <w:sz w:val="14"/>
                          <w:szCs w:val="14"/>
                        </w:rPr>
                        <w:t>Seconds</w:t>
                      </w:r>
                    </w:p>
                  </w:txbxContent>
                </v:textbox>
              </v:shape>
            </w:pict>
          </mc:Fallback>
        </mc:AlternateContent>
      </w:r>
      <w:r w:rsidR="000B6957">
        <w:rPr>
          <w:noProof/>
        </w:rPr>
        <w:drawing>
          <wp:inline distT="0" distB="0" distL="0" distR="0" wp14:anchorId="5D93433D" wp14:editId="7587701F">
            <wp:extent cx="5943600" cy="22860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140AF" w:rsidRDefault="00B140AF" w:rsidP="00752F71">
      <w:pPr>
        <w:spacing w:after="0"/>
        <w:rPr>
          <w:rFonts w:cstheme="minorHAnsi"/>
          <w:b/>
        </w:rPr>
      </w:pPr>
    </w:p>
    <w:p w:rsidR="008C60EE" w:rsidRDefault="008C60EE">
      <w:pPr>
        <w:rPr>
          <w:rFonts w:cstheme="minorHAnsi"/>
          <w:b/>
        </w:rPr>
      </w:pPr>
      <w:r>
        <w:rPr>
          <w:rFonts w:cstheme="minorHAnsi"/>
          <w:b/>
        </w:rPr>
        <w:br w:type="page"/>
      </w:r>
    </w:p>
    <w:p w:rsidR="00150F2B" w:rsidRPr="00E02631" w:rsidRDefault="009863D1" w:rsidP="00E02631">
      <w:pPr>
        <w:spacing w:after="0"/>
        <w:rPr>
          <w:rFonts w:cstheme="minorHAnsi"/>
        </w:rPr>
      </w:pPr>
      <w:r w:rsidRPr="00F14A99">
        <w:rPr>
          <w:rFonts w:cstheme="minorHAnsi"/>
          <w:b/>
        </w:rPr>
        <w:lastRenderedPageBreak/>
        <w:t>Rail</w:t>
      </w:r>
      <w:r w:rsidRPr="00F14A99">
        <w:rPr>
          <w:rFonts w:cstheme="minorHAnsi"/>
        </w:rPr>
        <w:t xml:space="preserve">: </w:t>
      </w:r>
      <w:r w:rsidR="00BB038A" w:rsidRPr="00F14A99">
        <w:rPr>
          <w:rFonts w:cstheme="minorHAnsi"/>
        </w:rPr>
        <w:t xml:space="preserve">Data represents tap times for rail </w:t>
      </w:r>
      <w:r w:rsidR="00BB038A" w:rsidRPr="00C615FB">
        <w:rPr>
          <w:rFonts w:cstheme="minorHAnsi"/>
        </w:rPr>
        <w:t xml:space="preserve">between </w:t>
      </w:r>
      <w:r w:rsidR="00177665">
        <w:rPr>
          <w:rFonts w:cstheme="minorHAnsi"/>
        </w:rPr>
        <w:t>January 1</w:t>
      </w:r>
      <w:r w:rsidR="00C155D2">
        <w:rPr>
          <w:rFonts w:cstheme="minorHAnsi"/>
        </w:rPr>
        <w:t>5</w:t>
      </w:r>
      <w:r w:rsidR="00BB038A" w:rsidRPr="00C615FB">
        <w:rPr>
          <w:rFonts w:cstheme="minorHAnsi"/>
        </w:rPr>
        <w:t xml:space="preserve"> and </w:t>
      </w:r>
      <w:r w:rsidR="00BF7B5C" w:rsidRPr="00C615FB">
        <w:rPr>
          <w:rFonts w:cstheme="minorHAnsi"/>
        </w:rPr>
        <w:t>January</w:t>
      </w:r>
      <w:r w:rsidR="003D6CB7" w:rsidRPr="00C615FB">
        <w:rPr>
          <w:rFonts w:cstheme="minorHAnsi"/>
        </w:rPr>
        <w:t xml:space="preserve"> </w:t>
      </w:r>
      <w:r w:rsidR="0066554D">
        <w:rPr>
          <w:rFonts w:cstheme="minorHAnsi"/>
        </w:rPr>
        <w:t>2</w:t>
      </w:r>
      <w:r w:rsidR="000B6957">
        <w:rPr>
          <w:rFonts w:cstheme="minorHAnsi"/>
        </w:rPr>
        <w:t>8</w:t>
      </w:r>
      <w:r w:rsidR="008A2447" w:rsidRPr="00C615FB">
        <w:rPr>
          <w:rFonts w:cstheme="minorHAnsi"/>
        </w:rPr>
        <w:t xml:space="preserve"> as compared to data collected from late October</w:t>
      </w:r>
      <w:r w:rsidR="00E02631" w:rsidRPr="00C615FB">
        <w:rPr>
          <w:rFonts w:cstheme="minorHAnsi"/>
        </w:rPr>
        <w:t xml:space="preserve"> prior to the implementation</w:t>
      </w:r>
      <w:r w:rsidR="00E02631">
        <w:rPr>
          <w:rFonts w:cstheme="minorHAnsi"/>
        </w:rPr>
        <w:t xml:space="preserve"> of software upgrades </w:t>
      </w:r>
      <w:r w:rsidR="00C11578">
        <w:rPr>
          <w:rFonts w:cstheme="minorHAnsi"/>
        </w:rPr>
        <w:t xml:space="preserve">to </w:t>
      </w:r>
      <w:r w:rsidR="005043AD" w:rsidRPr="00F14A99">
        <w:rPr>
          <w:rFonts w:cstheme="minorHAnsi"/>
        </w:rPr>
        <w:t xml:space="preserve">address </w:t>
      </w:r>
      <w:r w:rsidR="00BB038A" w:rsidRPr="00F14A99">
        <w:rPr>
          <w:rFonts w:cstheme="minorHAnsi"/>
        </w:rPr>
        <w:t>tap</w:t>
      </w:r>
      <w:r w:rsidR="00150F2B" w:rsidRPr="00F14A99">
        <w:rPr>
          <w:rFonts w:cstheme="minorHAnsi"/>
        </w:rPr>
        <w:t xml:space="preserve"> delays</w:t>
      </w:r>
      <w:r w:rsidR="00E02631">
        <w:rPr>
          <w:rFonts w:cstheme="minorHAnsi"/>
        </w:rPr>
        <w:t xml:space="preserve"> and</w:t>
      </w:r>
      <w:r w:rsidR="005043AD" w:rsidRPr="00F14A99">
        <w:rPr>
          <w:rFonts w:cstheme="minorHAnsi"/>
        </w:rPr>
        <w:t xml:space="preserve"> other issues</w:t>
      </w:r>
      <w:r w:rsidR="00150F2B" w:rsidRPr="00F14A99">
        <w:rPr>
          <w:rFonts w:cstheme="minorHAnsi"/>
        </w:rPr>
        <w:t>.</w:t>
      </w:r>
      <w:r w:rsidR="00E02631">
        <w:rPr>
          <w:rFonts w:cstheme="minorHAnsi"/>
        </w:rPr>
        <w:t xml:space="preserve"> </w:t>
      </w:r>
    </w:p>
    <w:p w:rsidR="009E4B88" w:rsidRDefault="009E4B88" w:rsidP="00D16CA2">
      <w:pPr>
        <w:spacing w:after="0" w:line="240" w:lineRule="auto"/>
        <w:rPr>
          <w:noProof/>
        </w:rPr>
      </w:pPr>
    </w:p>
    <w:p w:rsidR="00B931E1" w:rsidRDefault="00C155D2" w:rsidP="00D16CA2">
      <w:pPr>
        <w:spacing w:after="0" w:line="240" w:lineRule="auto"/>
        <w:rPr>
          <w:noProof/>
        </w:rPr>
      </w:pPr>
      <w:r>
        <w:rPr>
          <w:noProof/>
        </w:rPr>
        <w:drawing>
          <wp:inline distT="0" distB="0" distL="0" distR="0" wp14:anchorId="67E543DB" wp14:editId="6169064B">
            <wp:extent cx="5943600" cy="22860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51F54" w:rsidRDefault="00C51F54" w:rsidP="00D16CA2">
      <w:pPr>
        <w:spacing w:after="0" w:line="240" w:lineRule="auto"/>
        <w:rPr>
          <w:rFonts w:cstheme="minorHAnsi"/>
          <w:color w:val="1F497D" w:themeColor="text2"/>
          <w:sz w:val="12"/>
          <w:szCs w:val="12"/>
        </w:rPr>
      </w:pPr>
    </w:p>
    <w:p w:rsidR="001245D2" w:rsidRPr="0017756B" w:rsidRDefault="001245D2" w:rsidP="00D16CA2">
      <w:pPr>
        <w:spacing w:after="0" w:line="240" w:lineRule="auto"/>
        <w:rPr>
          <w:rFonts w:cstheme="minorHAnsi"/>
          <w:color w:val="1F497D" w:themeColor="text2"/>
          <w:sz w:val="12"/>
          <w:szCs w:val="12"/>
        </w:rPr>
      </w:pPr>
    </w:p>
    <w:p w:rsidR="00752F71" w:rsidRPr="002B496C" w:rsidRDefault="00752F71" w:rsidP="0017756B">
      <w:pPr>
        <w:spacing w:after="0"/>
        <w:rPr>
          <w:rFonts w:cstheme="minorHAnsi"/>
          <w:color w:val="1F497D" w:themeColor="text2"/>
        </w:rPr>
      </w:pPr>
      <w:r>
        <w:rPr>
          <w:rFonts w:cstheme="minorHAnsi"/>
        </w:rPr>
        <w:t xml:space="preserve">Cumulative data collected since November 11 </w:t>
      </w:r>
      <w:r w:rsidRPr="00C615FB">
        <w:rPr>
          <w:rFonts w:cstheme="minorHAnsi"/>
        </w:rPr>
        <w:t xml:space="preserve">illustrates that </w:t>
      </w:r>
      <w:r w:rsidR="00874408" w:rsidRPr="00C615FB">
        <w:rPr>
          <w:rFonts w:cstheme="minorHAnsi"/>
        </w:rPr>
        <w:t>99.</w:t>
      </w:r>
      <w:r w:rsidR="000E5E98" w:rsidRPr="00C615FB">
        <w:rPr>
          <w:rFonts w:cstheme="minorHAnsi"/>
        </w:rPr>
        <w:t>9</w:t>
      </w:r>
      <w:r w:rsidR="00C72234">
        <w:rPr>
          <w:rFonts w:cstheme="minorHAnsi"/>
        </w:rPr>
        <w:t>6</w:t>
      </w:r>
      <w:r w:rsidR="00874408" w:rsidRPr="00C615FB">
        <w:rPr>
          <w:rFonts w:cstheme="minorHAnsi"/>
        </w:rPr>
        <w:t xml:space="preserve"> </w:t>
      </w:r>
      <w:r w:rsidRPr="00C615FB">
        <w:rPr>
          <w:rFonts w:cstheme="minorHAnsi"/>
        </w:rPr>
        <w:t>percent</w:t>
      </w:r>
      <w:r w:rsidRPr="00F14A99">
        <w:rPr>
          <w:rFonts w:cstheme="minorHAnsi"/>
        </w:rPr>
        <w:t xml:space="preserve"> of taps on rail have been processed in 2.5 seconds or less</w:t>
      </w:r>
      <w:r>
        <w:rPr>
          <w:rFonts w:cstheme="minorHAnsi"/>
        </w:rPr>
        <w:t xml:space="preserve">. The table below illustrates the processing time by duration segment. </w:t>
      </w:r>
    </w:p>
    <w:p w:rsidR="00086F12" w:rsidRDefault="00086F12" w:rsidP="008D3A49">
      <w:pPr>
        <w:spacing w:after="0" w:line="240" w:lineRule="auto"/>
        <w:rPr>
          <w:sz w:val="12"/>
          <w:szCs w:val="12"/>
        </w:rPr>
      </w:pPr>
    </w:p>
    <w:tbl>
      <w:tblPr>
        <w:tblStyle w:val="TableGrid"/>
        <w:tblW w:w="0" w:type="auto"/>
        <w:tblInd w:w="108" w:type="dxa"/>
        <w:tblLook w:val="04A0" w:firstRow="1" w:lastRow="0" w:firstColumn="1" w:lastColumn="0" w:noHBand="0" w:noVBand="1"/>
      </w:tblPr>
      <w:tblGrid>
        <w:gridCol w:w="2920"/>
        <w:gridCol w:w="2069"/>
        <w:gridCol w:w="2053"/>
        <w:gridCol w:w="2318"/>
      </w:tblGrid>
      <w:tr w:rsidR="008D3A49" w:rsidRPr="00813827" w:rsidTr="00C155D2">
        <w:tc>
          <w:tcPr>
            <w:tcW w:w="2920" w:type="dxa"/>
            <w:shd w:val="clear" w:color="auto" w:fill="4F81BD" w:themeFill="accent1"/>
          </w:tcPr>
          <w:p w:rsidR="008D3A49" w:rsidRPr="00813827" w:rsidRDefault="00C041FB" w:rsidP="00BB038A">
            <w:pPr>
              <w:rPr>
                <w:rFonts w:cstheme="minorHAnsi"/>
                <w:b/>
                <w:color w:val="FFFFFF" w:themeColor="background1"/>
                <w:sz w:val="20"/>
                <w:szCs w:val="20"/>
              </w:rPr>
            </w:pPr>
            <w:r>
              <w:rPr>
                <w:rFonts w:cstheme="minorHAnsi"/>
                <w:b/>
                <w:color w:val="FFFFFF" w:themeColor="background1"/>
                <w:sz w:val="20"/>
                <w:szCs w:val="20"/>
              </w:rPr>
              <w:t>Tap</w:t>
            </w:r>
            <w:r w:rsidR="008D3A49" w:rsidRPr="00813827">
              <w:rPr>
                <w:rFonts w:cstheme="minorHAnsi"/>
                <w:b/>
                <w:color w:val="FFFFFF" w:themeColor="background1"/>
                <w:sz w:val="20"/>
                <w:szCs w:val="20"/>
              </w:rPr>
              <w:t xml:space="preserve"> Time</w:t>
            </w:r>
            <w:r w:rsidR="00EA6F76">
              <w:rPr>
                <w:rFonts w:cstheme="minorHAnsi"/>
                <w:b/>
                <w:color w:val="FFFFFF" w:themeColor="background1"/>
                <w:sz w:val="20"/>
                <w:szCs w:val="20"/>
              </w:rPr>
              <w:t xml:space="preserve">s </w:t>
            </w:r>
          </w:p>
        </w:tc>
        <w:tc>
          <w:tcPr>
            <w:tcW w:w="2069" w:type="dxa"/>
            <w:shd w:val="clear" w:color="auto" w:fill="4F81BD" w:themeFill="accent1"/>
          </w:tcPr>
          <w:p w:rsidR="008D3A49" w:rsidRPr="00813827" w:rsidRDefault="008D3A49" w:rsidP="00882435">
            <w:pPr>
              <w:jc w:val="center"/>
              <w:rPr>
                <w:rFonts w:cstheme="minorHAnsi"/>
                <w:b/>
                <w:color w:val="FFFFFF" w:themeColor="background1"/>
                <w:sz w:val="20"/>
                <w:szCs w:val="20"/>
              </w:rPr>
            </w:pPr>
            <w:r w:rsidRPr="00813827">
              <w:rPr>
                <w:rFonts w:cstheme="minorHAnsi"/>
                <w:b/>
                <w:color w:val="FFFFFF" w:themeColor="background1"/>
                <w:sz w:val="20"/>
                <w:szCs w:val="20"/>
              </w:rPr>
              <w:t>Count</w:t>
            </w:r>
          </w:p>
        </w:tc>
        <w:tc>
          <w:tcPr>
            <w:tcW w:w="2053" w:type="dxa"/>
            <w:shd w:val="clear" w:color="auto" w:fill="4F81BD" w:themeFill="accent1"/>
          </w:tcPr>
          <w:p w:rsidR="008D3A49" w:rsidRPr="00813827" w:rsidRDefault="008D3A49" w:rsidP="00882435">
            <w:pPr>
              <w:jc w:val="center"/>
              <w:rPr>
                <w:rFonts w:cstheme="minorHAnsi"/>
                <w:b/>
                <w:color w:val="FFFFFF" w:themeColor="background1"/>
                <w:sz w:val="20"/>
                <w:szCs w:val="20"/>
              </w:rPr>
            </w:pPr>
            <w:r w:rsidRPr="00813827">
              <w:rPr>
                <w:rFonts w:cstheme="minorHAnsi"/>
                <w:b/>
                <w:color w:val="FFFFFF" w:themeColor="background1"/>
                <w:sz w:val="20"/>
                <w:szCs w:val="20"/>
              </w:rPr>
              <w:t>Percent</w:t>
            </w:r>
          </w:p>
        </w:tc>
        <w:tc>
          <w:tcPr>
            <w:tcW w:w="2318" w:type="dxa"/>
            <w:shd w:val="clear" w:color="auto" w:fill="4F81BD" w:themeFill="accent1"/>
          </w:tcPr>
          <w:p w:rsidR="008D3A49" w:rsidRPr="00813827" w:rsidRDefault="008D3A49" w:rsidP="00882435">
            <w:pPr>
              <w:jc w:val="center"/>
              <w:rPr>
                <w:rFonts w:cstheme="minorHAnsi"/>
                <w:b/>
                <w:color w:val="FFFFFF" w:themeColor="background1"/>
                <w:sz w:val="20"/>
                <w:szCs w:val="20"/>
              </w:rPr>
            </w:pPr>
            <w:r w:rsidRPr="00813827">
              <w:rPr>
                <w:rFonts w:cstheme="minorHAnsi"/>
                <w:b/>
                <w:color w:val="FFFFFF" w:themeColor="background1"/>
                <w:sz w:val="20"/>
                <w:szCs w:val="20"/>
              </w:rPr>
              <w:t>Cumulative</w:t>
            </w:r>
          </w:p>
        </w:tc>
      </w:tr>
      <w:tr w:rsidR="000B6957" w:rsidRPr="00F14A99" w:rsidTr="00C155D2">
        <w:trPr>
          <w:trHeight w:val="20"/>
        </w:trPr>
        <w:tc>
          <w:tcPr>
            <w:tcW w:w="2920" w:type="dxa"/>
            <w:vAlign w:val="center"/>
          </w:tcPr>
          <w:p w:rsidR="000B6957" w:rsidRPr="00F14A99" w:rsidRDefault="000B6957" w:rsidP="000B6957">
            <w:pPr>
              <w:rPr>
                <w:rFonts w:cstheme="minorHAnsi"/>
                <w:sz w:val="20"/>
                <w:szCs w:val="20"/>
              </w:rPr>
            </w:pPr>
            <w:r w:rsidRPr="00F14A99">
              <w:rPr>
                <w:rFonts w:cstheme="minorHAnsi"/>
                <w:sz w:val="20"/>
                <w:szCs w:val="20"/>
              </w:rPr>
              <w:t>≤ 0.5 Seconds</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rsidR="000B6957" w:rsidRPr="000B6957" w:rsidRDefault="000B6957" w:rsidP="00C90114">
            <w:pPr>
              <w:jc w:val="center"/>
              <w:rPr>
                <w:rFonts w:cstheme="minorHAnsi"/>
                <w:sz w:val="20"/>
                <w:szCs w:val="20"/>
              </w:rPr>
            </w:pPr>
            <w:r w:rsidRPr="000B6957">
              <w:rPr>
                <w:rFonts w:cstheme="minorHAnsi"/>
                <w:sz w:val="20"/>
                <w:szCs w:val="20"/>
              </w:rPr>
              <w:t>17,147,764</w:t>
            </w:r>
          </w:p>
        </w:tc>
        <w:tc>
          <w:tcPr>
            <w:tcW w:w="2053" w:type="dxa"/>
            <w:tcBorders>
              <w:top w:val="single" w:sz="4" w:space="0" w:color="auto"/>
              <w:left w:val="nil"/>
              <w:bottom w:val="single" w:sz="4" w:space="0" w:color="auto"/>
              <w:right w:val="single" w:sz="4" w:space="0" w:color="auto"/>
            </w:tcBorders>
            <w:shd w:val="clear" w:color="auto" w:fill="auto"/>
            <w:vAlign w:val="center"/>
          </w:tcPr>
          <w:p w:rsidR="000B6957" w:rsidRPr="000B6957" w:rsidRDefault="000B6957" w:rsidP="00C90114">
            <w:pPr>
              <w:jc w:val="center"/>
              <w:rPr>
                <w:rFonts w:cstheme="minorHAnsi"/>
                <w:sz w:val="20"/>
                <w:szCs w:val="20"/>
              </w:rPr>
            </w:pPr>
            <w:r w:rsidRPr="000B6957">
              <w:rPr>
                <w:rFonts w:cstheme="minorHAnsi"/>
                <w:sz w:val="20"/>
                <w:szCs w:val="20"/>
              </w:rPr>
              <w:t>66.94%</w:t>
            </w:r>
          </w:p>
        </w:tc>
        <w:tc>
          <w:tcPr>
            <w:tcW w:w="23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6957" w:rsidRPr="000B6957" w:rsidRDefault="000B6957" w:rsidP="00C90114">
            <w:pPr>
              <w:jc w:val="center"/>
              <w:rPr>
                <w:rFonts w:cstheme="minorHAnsi"/>
                <w:sz w:val="20"/>
                <w:szCs w:val="20"/>
              </w:rPr>
            </w:pPr>
            <w:r w:rsidRPr="000B6957">
              <w:rPr>
                <w:rFonts w:cstheme="minorHAnsi"/>
                <w:sz w:val="20"/>
                <w:szCs w:val="20"/>
              </w:rPr>
              <w:t>96.35%</w:t>
            </w:r>
          </w:p>
        </w:tc>
      </w:tr>
      <w:tr w:rsidR="000B6957" w:rsidRPr="00F14A99" w:rsidTr="00C155D2">
        <w:trPr>
          <w:trHeight w:val="242"/>
        </w:trPr>
        <w:tc>
          <w:tcPr>
            <w:tcW w:w="2920" w:type="dxa"/>
            <w:vAlign w:val="center"/>
          </w:tcPr>
          <w:p w:rsidR="000B6957" w:rsidRPr="00F14A99" w:rsidRDefault="000B6957" w:rsidP="000B6957">
            <w:pPr>
              <w:rPr>
                <w:rFonts w:cstheme="minorHAnsi"/>
                <w:sz w:val="20"/>
                <w:szCs w:val="20"/>
              </w:rPr>
            </w:pPr>
            <w:r w:rsidRPr="00F14A99">
              <w:rPr>
                <w:rFonts w:cstheme="minorHAnsi"/>
                <w:sz w:val="20"/>
                <w:szCs w:val="20"/>
              </w:rPr>
              <w:t>0.6 Seconds – 1.0 Seconds</w:t>
            </w:r>
          </w:p>
        </w:tc>
        <w:tc>
          <w:tcPr>
            <w:tcW w:w="2069" w:type="dxa"/>
            <w:tcBorders>
              <w:top w:val="nil"/>
              <w:left w:val="single" w:sz="4" w:space="0" w:color="auto"/>
              <w:bottom w:val="single" w:sz="4" w:space="0" w:color="auto"/>
              <w:right w:val="single" w:sz="4" w:space="0" w:color="auto"/>
            </w:tcBorders>
            <w:shd w:val="clear" w:color="auto" w:fill="auto"/>
            <w:vAlign w:val="center"/>
          </w:tcPr>
          <w:p w:rsidR="000B6957" w:rsidRPr="00C72234" w:rsidRDefault="000B6957" w:rsidP="00C90114">
            <w:pPr>
              <w:jc w:val="center"/>
              <w:rPr>
                <w:rFonts w:cstheme="minorHAnsi"/>
                <w:sz w:val="20"/>
                <w:szCs w:val="20"/>
              </w:rPr>
            </w:pPr>
            <w:r w:rsidRPr="000B6957">
              <w:rPr>
                <w:rFonts w:cstheme="minorHAnsi"/>
                <w:sz w:val="20"/>
                <w:szCs w:val="20"/>
              </w:rPr>
              <w:t>7,533,187</w:t>
            </w:r>
          </w:p>
        </w:tc>
        <w:tc>
          <w:tcPr>
            <w:tcW w:w="2053" w:type="dxa"/>
            <w:tcBorders>
              <w:top w:val="nil"/>
              <w:left w:val="nil"/>
              <w:bottom w:val="single" w:sz="4" w:space="0" w:color="auto"/>
              <w:right w:val="single" w:sz="4" w:space="0" w:color="auto"/>
            </w:tcBorders>
            <w:shd w:val="clear" w:color="auto" w:fill="auto"/>
            <w:vAlign w:val="center"/>
          </w:tcPr>
          <w:p w:rsidR="000B6957" w:rsidRPr="00C72234" w:rsidRDefault="000B6957" w:rsidP="00C90114">
            <w:pPr>
              <w:jc w:val="center"/>
              <w:rPr>
                <w:rFonts w:cstheme="minorHAnsi"/>
                <w:sz w:val="20"/>
                <w:szCs w:val="20"/>
              </w:rPr>
            </w:pPr>
            <w:r w:rsidRPr="000B6957">
              <w:rPr>
                <w:rFonts w:cstheme="minorHAnsi"/>
                <w:sz w:val="20"/>
                <w:szCs w:val="20"/>
              </w:rPr>
              <w:t>29.41%</w:t>
            </w:r>
          </w:p>
        </w:tc>
        <w:tc>
          <w:tcPr>
            <w:tcW w:w="2318" w:type="dxa"/>
            <w:vMerge/>
            <w:tcBorders>
              <w:top w:val="single" w:sz="4" w:space="0" w:color="auto"/>
              <w:left w:val="single" w:sz="4" w:space="0" w:color="auto"/>
              <w:bottom w:val="single" w:sz="4" w:space="0" w:color="auto"/>
              <w:right w:val="single" w:sz="4" w:space="0" w:color="auto"/>
            </w:tcBorders>
            <w:vAlign w:val="center"/>
          </w:tcPr>
          <w:p w:rsidR="000B6957" w:rsidRPr="00C72234" w:rsidRDefault="000B6957" w:rsidP="00C90114">
            <w:pPr>
              <w:jc w:val="center"/>
              <w:rPr>
                <w:rFonts w:cstheme="minorHAnsi"/>
                <w:sz w:val="20"/>
                <w:szCs w:val="20"/>
              </w:rPr>
            </w:pPr>
          </w:p>
        </w:tc>
      </w:tr>
      <w:tr w:rsidR="000B6957" w:rsidRPr="00F14A99" w:rsidTr="00C155D2">
        <w:trPr>
          <w:trHeight w:val="20"/>
        </w:trPr>
        <w:tc>
          <w:tcPr>
            <w:tcW w:w="2920" w:type="dxa"/>
            <w:vAlign w:val="center"/>
          </w:tcPr>
          <w:p w:rsidR="000B6957" w:rsidRPr="00F14A99" w:rsidRDefault="000B6957" w:rsidP="000B6957">
            <w:pPr>
              <w:rPr>
                <w:rFonts w:cstheme="minorHAnsi"/>
                <w:sz w:val="20"/>
                <w:szCs w:val="20"/>
              </w:rPr>
            </w:pPr>
            <w:r w:rsidRPr="00F14A99">
              <w:rPr>
                <w:rFonts w:cstheme="minorHAnsi"/>
                <w:sz w:val="20"/>
                <w:szCs w:val="20"/>
              </w:rPr>
              <w:t>1.1 Seconds – 2.5 Seconds</w:t>
            </w:r>
          </w:p>
        </w:tc>
        <w:tc>
          <w:tcPr>
            <w:tcW w:w="2069" w:type="dxa"/>
            <w:tcBorders>
              <w:top w:val="nil"/>
              <w:left w:val="single" w:sz="4" w:space="0" w:color="auto"/>
              <w:bottom w:val="single" w:sz="4" w:space="0" w:color="auto"/>
              <w:right w:val="single" w:sz="4" w:space="0" w:color="auto"/>
            </w:tcBorders>
            <w:shd w:val="clear" w:color="auto" w:fill="auto"/>
            <w:vAlign w:val="center"/>
          </w:tcPr>
          <w:p w:rsidR="000B6957" w:rsidRPr="000B6957" w:rsidRDefault="000B6957" w:rsidP="00C90114">
            <w:pPr>
              <w:jc w:val="center"/>
              <w:rPr>
                <w:rFonts w:cstheme="minorHAnsi"/>
                <w:sz w:val="20"/>
                <w:szCs w:val="20"/>
              </w:rPr>
            </w:pPr>
            <w:r w:rsidRPr="000B6957">
              <w:rPr>
                <w:rFonts w:cstheme="minorHAnsi"/>
                <w:sz w:val="20"/>
                <w:szCs w:val="20"/>
              </w:rPr>
              <w:t>924,398</w:t>
            </w:r>
          </w:p>
        </w:tc>
        <w:tc>
          <w:tcPr>
            <w:tcW w:w="2053" w:type="dxa"/>
            <w:tcBorders>
              <w:top w:val="nil"/>
              <w:left w:val="nil"/>
              <w:bottom w:val="single" w:sz="4" w:space="0" w:color="auto"/>
              <w:right w:val="single" w:sz="4" w:space="0" w:color="auto"/>
            </w:tcBorders>
            <w:shd w:val="clear" w:color="auto" w:fill="auto"/>
            <w:vAlign w:val="center"/>
          </w:tcPr>
          <w:p w:rsidR="000B6957" w:rsidRPr="000B6957" w:rsidRDefault="000B6957" w:rsidP="00C90114">
            <w:pPr>
              <w:jc w:val="center"/>
              <w:rPr>
                <w:rFonts w:cstheme="minorHAnsi"/>
                <w:sz w:val="20"/>
                <w:szCs w:val="20"/>
              </w:rPr>
            </w:pPr>
            <w:r w:rsidRPr="000B6957">
              <w:rPr>
                <w:rFonts w:cstheme="minorHAnsi"/>
                <w:sz w:val="20"/>
                <w:szCs w:val="20"/>
              </w:rPr>
              <w:t>3.61%</w:t>
            </w:r>
          </w:p>
        </w:tc>
        <w:tc>
          <w:tcPr>
            <w:tcW w:w="2318" w:type="dxa"/>
            <w:tcBorders>
              <w:top w:val="nil"/>
              <w:left w:val="nil"/>
              <w:bottom w:val="single" w:sz="4" w:space="0" w:color="auto"/>
              <w:right w:val="single" w:sz="4" w:space="0" w:color="auto"/>
            </w:tcBorders>
            <w:shd w:val="clear" w:color="auto" w:fill="auto"/>
            <w:vAlign w:val="center"/>
          </w:tcPr>
          <w:p w:rsidR="000B6957" w:rsidRPr="000B6957" w:rsidRDefault="000B6957" w:rsidP="00C90114">
            <w:pPr>
              <w:jc w:val="center"/>
              <w:rPr>
                <w:rFonts w:cstheme="minorHAnsi"/>
                <w:sz w:val="20"/>
                <w:szCs w:val="20"/>
              </w:rPr>
            </w:pPr>
            <w:r w:rsidRPr="000B6957">
              <w:rPr>
                <w:rFonts w:cstheme="minorHAnsi"/>
                <w:sz w:val="20"/>
                <w:szCs w:val="20"/>
              </w:rPr>
              <w:t>3.61%</w:t>
            </w:r>
          </w:p>
        </w:tc>
      </w:tr>
      <w:tr w:rsidR="000B6957" w:rsidRPr="00F14A99" w:rsidTr="00C155D2">
        <w:tc>
          <w:tcPr>
            <w:tcW w:w="2920" w:type="dxa"/>
            <w:vAlign w:val="center"/>
          </w:tcPr>
          <w:p w:rsidR="000B6957" w:rsidRPr="00F14A99" w:rsidRDefault="000B6957" w:rsidP="000B6957">
            <w:pPr>
              <w:rPr>
                <w:rFonts w:cstheme="minorHAnsi"/>
                <w:sz w:val="20"/>
                <w:szCs w:val="20"/>
              </w:rPr>
            </w:pPr>
            <w:r w:rsidRPr="00F14A99">
              <w:rPr>
                <w:rFonts w:cstheme="minorHAnsi"/>
                <w:sz w:val="20"/>
                <w:szCs w:val="20"/>
              </w:rPr>
              <w:t>&gt; 2.5 Seconds</w:t>
            </w:r>
          </w:p>
        </w:tc>
        <w:tc>
          <w:tcPr>
            <w:tcW w:w="2069" w:type="dxa"/>
            <w:tcBorders>
              <w:top w:val="nil"/>
              <w:left w:val="single" w:sz="4" w:space="0" w:color="auto"/>
              <w:bottom w:val="single" w:sz="4" w:space="0" w:color="auto"/>
              <w:right w:val="single" w:sz="4" w:space="0" w:color="auto"/>
            </w:tcBorders>
            <w:shd w:val="clear" w:color="auto" w:fill="auto"/>
            <w:vAlign w:val="center"/>
          </w:tcPr>
          <w:p w:rsidR="000B6957" w:rsidRPr="000B6957" w:rsidRDefault="000B6957" w:rsidP="00C90114">
            <w:pPr>
              <w:jc w:val="center"/>
              <w:rPr>
                <w:rFonts w:cstheme="minorHAnsi"/>
                <w:sz w:val="20"/>
                <w:szCs w:val="20"/>
              </w:rPr>
            </w:pPr>
            <w:r w:rsidRPr="000B6957">
              <w:rPr>
                <w:rFonts w:cstheme="minorHAnsi"/>
                <w:sz w:val="20"/>
                <w:szCs w:val="20"/>
              </w:rPr>
              <w:t>10,439</w:t>
            </w:r>
          </w:p>
        </w:tc>
        <w:tc>
          <w:tcPr>
            <w:tcW w:w="2053" w:type="dxa"/>
            <w:tcBorders>
              <w:top w:val="nil"/>
              <w:left w:val="nil"/>
              <w:bottom w:val="single" w:sz="4" w:space="0" w:color="auto"/>
              <w:right w:val="single" w:sz="4" w:space="0" w:color="auto"/>
            </w:tcBorders>
            <w:shd w:val="clear" w:color="auto" w:fill="auto"/>
            <w:vAlign w:val="center"/>
          </w:tcPr>
          <w:p w:rsidR="000B6957" w:rsidRPr="000B6957" w:rsidRDefault="000B6957" w:rsidP="00C90114">
            <w:pPr>
              <w:jc w:val="center"/>
              <w:rPr>
                <w:rFonts w:cstheme="minorHAnsi"/>
                <w:sz w:val="20"/>
                <w:szCs w:val="20"/>
              </w:rPr>
            </w:pPr>
            <w:r w:rsidRPr="000B6957">
              <w:rPr>
                <w:rFonts w:cstheme="minorHAnsi"/>
                <w:sz w:val="20"/>
                <w:szCs w:val="20"/>
              </w:rPr>
              <w:t>0.04%</w:t>
            </w:r>
          </w:p>
        </w:tc>
        <w:tc>
          <w:tcPr>
            <w:tcW w:w="2318" w:type="dxa"/>
            <w:tcBorders>
              <w:top w:val="nil"/>
              <w:left w:val="nil"/>
              <w:bottom w:val="single" w:sz="4" w:space="0" w:color="auto"/>
              <w:right w:val="single" w:sz="4" w:space="0" w:color="auto"/>
            </w:tcBorders>
            <w:shd w:val="clear" w:color="auto" w:fill="auto"/>
            <w:vAlign w:val="center"/>
          </w:tcPr>
          <w:p w:rsidR="000B6957" w:rsidRPr="000B6957" w:rsidRDefault="000B6957" w:rsidP="00C90114">
            <w:pPr>
              <w:jc w:val="center"/>
              <w:rPr>
                <w:rFonts w:cstheme="minorHAnsi"/>
                <w:sz w:val="20"/>
                <w:szCs w:val="20"/>
              </w:rPr>
            </w:pPr>
            <w:r w:rsidRPr="000B6957">
              <w:rPr>
                <w:rFonts w:cstheme="minorHAnsi"/>
                <w:sz w:val="20"/>
                <w:szCs w:val="20"/>
              </w:rPr>
              <w:t>0.04%</w:t>
            </w:r>
          </w:p>
        </w:tc>
      </w:tr>
    </w:tbl>
    <w:p w:rsidR="001645D3" w:rsidRPr="00F14A99" w:rsidRDefault="001645D3" w:rsidP="008D3A49">
      <w:pPr>
        <w:spacing w:after="0" w:line="240" w:lineRule="auto"/>
        <w:rPr>
          <w:rFonts w:cstheme="minorHAnsi"/>
          <w:sz w:val="12"/>
          <w:szCs w:val="12"/>
        </w:rPr>
      </w:pPr>
    </w:p>
    <w:p w:rsidR="00150F2B" w:rsidRPr="00F14A99" w:rsidRDefault="00150F2B" w:rsidP="008D3A49">
      <w:pPr>
        <w:spacing w:after="0" w:line="240" w:lineRule="auto"/>
        <w:rPr>
          <w:rFonts w:cstheme="minorHAnsi"/>
        </w:rPr>
      </w:pPr>
      <w:r w:rsidRPr="00F14A99">
        <w:rPr>
          <w:rFonts w:cstheme="minorHAnsi"/>
        </w:rPr>
        <w:t xml:space="preserve">The graphic below represents the aggregated tap times for rail by hour. </w:t>
      </w:r>
      <w:r w:rsidR="0043460E">
        <w:rPr>
          <w:rFonts w:cstheme="minorHAnsi"/>
        </w:rPr>
        <w:t xml:space="preserve">The data demonstrates expected results throughout the operating period. </w:t>
      </w:r>
    </w:p>
    <w:p w:rsidR="00150F2B" w:rsidRDefault="00150F2B" w:rsidP="008D3A49">
      <w:pPr>
        <w:spacing w:after="0" w:line="240" w:lineRule="auto"/>
        <w:rPr>
          <w:noProof/>
        </w:rPr>
      </w:pPr>
    </w:p>
    <w:p w:rsidR="009E4B88" w:rsidRDefault="00340C1F" w:rsidP="008D3A49">
      <w:pPr>
        <w:spacing w:after="0" w:line="240" w:lineRule="auto"/>
        <w:rPr>
          <w:noProof/>
        </w:rPr>
      </w:pPr>
      <w:r>
        <w:rPr>
          <w:noProof/>
        </w:rPr>
        <w:drawing>
          <wp:inline distT="0" distB="0" distL="0" distR="0" wp14:anchorId="15234E01" wp14:editId="06743F47">
            <wp:extent cx="5943600" cy="2286000"/>
            <wp:effectExtent l="0" t="0" r="1905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16CA2" w:rsidRDefault="00D16CA2" w:rsidP="00D7518C">
      <w:pPr>
        <w:spacing w:after="0" w:line="240" w:lineRule="auto"/>
        <w:rPr>
          <w:rFonts w:cstheme="minorHAnsi"/>
          <w:b/>
        </w:rPr>
      </w:pPr>
    </w:p>
    <w:p w:rsidR="00094D27" w:rsidRDefault="00094D27" w:rsidP="00D7518C">
      <w:pPr>
        <w:spacing w:after="0" w:line="240" w:lineRule="auto"/>
        <w:rPr>
          <w:rFonts w:cstheme="minorHAnsi"/>
          <w:b/>
        </w:rPr>
      </w:pPr>
    </w:p>
    <w:p w:rsidR="00D7518C" w:rsidRDefault="00D7518C" w:rsidP="00D7518C">
      <w:pPr>
        <w:spacing w:after="0" w:line="240" w:lineRule="auto"/>
        <w:rPr>
          <w:rFonts w:cstheme="minorHAnsi"/>
        </w:rPr>
      </w:pPr>
      <w:r w:rsidRPr="00F14A99">
        <w:rPr>
          <w:rFonts w:cstheme="minorHAnsi"/>
          <w:b/>
        </w:rPr>
        <w:lastRenderedPageBreak/>
        <w:t>Bus</w:t>
      </w:r>
      <w:r w:rsidRPr="00F14A99">
        <w:rPr>
          <w:rFonts w:cstheme="minorHAnsi"/>
        </w:rPr>
        <w:t xml:space="preserve">: </w:t>
      </w:r>
      <w:r w:rsidR="00E02631" w:rsidRPr="00F14A99">
        <w:rPr>
          <w:rFonts w:cstheme="minorHAnsi"/>
        </w:rPr>
        <w:t xml:space="preserve">Data represents tap times for </w:t>
      </w:r>
      <w:r w:rsidR="00E02631">
        <w:rPr>
          <w:rFonts w:cstheme="minorHAnsi"/>
        </w:rPr>
        <w:t>bus</w:t>
      </w:r>
      <w:r w:rsidR="00E02631" w:rsidRPr="00F14A99">
        <w:rPr>
          <w:rFonts w:cstheme="minorHAnsi"/>
        </w:rPr>
        <w:t xml:space="preserve"> between </w:t>
      </w:r>
      <w:r w:rsidR="0064142C">
        <w:rPr>
          <w:rFonts w:cstheme="minorHAnsi"/>
        </w:rPr>
        <w:t>January 1</w:t>
      </w:r>
      <w:r w:rsidR="00C155D2">
        <w:rPr>
          <w:rFonts w:cstheme="minorHAnsi"/>
        </w:rPr>
        <w:t>5</w:t>
      </w:r>
      <w:r w:rsidR="00E02631" w:rsidRPr="00F14A99">
        <w:rPr>
          <w:rFonts w:cstheme="minorHAnsi"/>
        </w:rPr>
        <w:t xml:space="preserve"> and </w:t>
      </w:r>
      <w:r w:rsidR="0066554D">
        <w:rPr>
          <w:rFonts w:cstheme="minorHAnsi"/>
        </w:rPr>
        <w:t>January 2</w:t>
      </w:r>
      <w:r w:rsidR="00340C1F">
        <w:rPr>
          <w:rFonts w:cstheme="minorHAnsi"/>
        </w:rPr>
        <w:t>8</w:t>
      </w:r>
      <w:r w:rsidR="00E02631">
        <w:rPr>
          <w:rFonts w:cstheme="minorHAnsi"/>
        </w:rPr>
        <w:t xml:space="preserve"> as compared to data collected from late October prior to the implementation of software upgrades to </w:t>
      </w:r>
      <w:r w:rsidR="00E02631" w:rsidRPr="00F14A99">
        <w:rPr>
          <w:rFonts w:cstheme="minorHAnsi"/>
        </w:rPr>
        <w:t>address tap delays</w:t>
      </w:r>
      <w:r w:rsidR="00E02631">
        <w:rPr>
          <w:rFonts w:cstheme="minorHAnsi"/>
        </w:rPr>
        <w:t xml:space="preserve"> and</w:t>
      </w:r>
      <w:r w:rsidR="00E02631" w:rsidRPr="00F14A99">
        <w:rPr>
          <w:rFonts w:cstheme="minorHAnsi"/>
        </w:rPr>
        <w:t xml:space="preserve"> other issues</w:t>
      </w:r>
      <w:r w:rsidR="00E02631">
        <w:rPr>
          <w:rFonts w:cstheme="minorHAnsi"/>
        </w:rPr>
        <w:t>.</w:t>
      </w:r>
    </w:p>
    <w:p w:rsidR="009E4B88" w:rsidRDefault="009E4B88" w:rsidP="00B111ED">
      <w:pPr>
        <w:spacing w:after="0" w:line="240" w:lineRule="auto"/>
        <w:rPr>
          <w:rFonts w:cstheme="minorHAnsi"/>
          <w:color w:val="1F497D" w:themeColor="text2"/>
        </w:rPr>
      </w:pPr>
    </w:p>
    <w:p w:rsidR="00B931E1" w:rsidRDefault="00C155D2" w:rsidP="00B111ED">
      <w:pPr>
        <w:spacing w:after="0" w:line="240" w:lineRule="auto"/>
        <w:rPr>
          <w:rFonts w:cstheme="minorHAnsi"/>
          <w:color w:val="1F497D" w:themeColor="text2"/>
        </w:rPr>
      </w:pPr>
      <w:r>
        <w:rPr>
          <w:noProof/>
        </w:rPr>
        <w:drawing>
          <wp:inline distT="0" distB="0" distL="0" distR="0" wp14:anchorId="34AC4223" wp14:editId="4F720D29">
            <wp:extent cx="5943600" cy="22860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51F54" w:rsidRPr="0017756B" w:rsidRDefault="00C51F54" w:rsidP="00B111ED">
      <w:pPr>
        <w:spacing w:after="0" w:line="240" w:lineRule="auto"/>
        <w:rPr>
          <w:rFonts w:cstheme="minorHAnsi"/>
          <w:color w:val="1F497D" w:themeColor="text2"/>
          <w:sz w:val="12"/>
          <w:szCs w:val="12"/>
        </w:rPr>
      </w:pPr>
    </w:p>
    <w:p w:rsidR="00752F71" w:rsidRPr="002B496C" w:rsidRDefault="00752F71" w:rsidP="00752F71">
      <w:pPr>
        <w:spacing w:after="0" w:line="240" w:lineRule="auto"/>
        <w:rPr>
          <w:rFonts w:cstheme="minorHAnsi"/>
          <w:color w:val="1F497D" w:themeColor="text2"/>
        </w:rPr>
      </w:pPr>
      <w:r>
        <w:rPr>
          <w:rFonts w:cstheme="minorHAnsi"/>
        </w:rPr>
        <w:t xml:space="preserve">Cumulative data collected since November 19 </w:t>
      </w:r>
      <w:r w:rsidRPr="00C615FB">
        <w:rPr>
          <w:rFonts w:cstheme="minorHAnsi"/>
        </w:rPr>
        <w:t xml:space="preserve">illustrates that </w:t>
      </w:r>
      <w:r w:rsidR="00874408" w:rsidRPr="00C615FB">
        <w:rPr>
          <w:rFonts w:cstheme="minorHAnsi"/>
        </w:rPr>
        <w:t>99.95</w:t>
      </w:r>
      <w:r w:rsidR="00874408" w:rsidRPr="00F14A99">
        <w:rPr>
          <w:rFonts w:cstheme="minorHAnsi"/>
        </w:rPr>
        <w:t xml:space="preserve"> </w:t>
      </w:r>
      <w:r w:rsidRPr="00F14A99">
        <w:rPr>
          <w:rFonts w:cstheme="minorHAnsi"/>
        </w:rPr>
        <w:t xml:space="preserve">percent of taps on </w:t>
      </w:r>
      <w:r w:rsidR="0031437F">
        <w:rPr>
          <w:rFonts w:cstheme="minorHAnsi"/>
        </w:rPr>
        <w:t xml:space="preserve">bus </w:t>
      </w:r>
      <w:r w:rsidRPr="00F14A99">
        <w:rPr>
          <w:rFonts w:cstheme="minorHAnsi"/>
        </w:rPr>
        <w:t>have been processed in 2.5 seconds or less</w:t>
      </w:r>
      <w:r>
        <w:rPr>
          <w:rFonts w:cstheme="minorHAnsi"/>
        </w:rPr>
        <w:t xml:space="preserve">. The table below illustrates the processing time by duration segment. </w:t>
      </w:r>
    </w:p>
    <w:p w:rsidR="006E16F8" w:rsidRPr="00DB7F53" w:rsidRDefault="006E16F8" w:rsidP="00B111ED">
      <w:pPr>
        <w:spacing w:after="0" w:line="240" w:lineRule="auto"/>
        <w:rPr>
          <w:rFonts w:cstheme="minorHAnsi"/>
          <w:color w:val="1F497D" w:themeColor="text2"/>
        </w:rPr>
      </w:pPr>
    </w:p>
    <w:tbl>
      <w:tblPr>
        <w:tblStyle w:val="TableGrid"/>
        <w:tblW w:w="0" w:type="auto"/>
        <w:tblInd w:w="108" w:type="dxa"/>
        <w:tblLook w:val="04A0" w:firstRow="1" w:lastRow="0" w:firstColumn="1" w:lastColumn="0" w:noHBand="0" w:noVBand="1"/>
      </w:tblPr>
      <w:tblGrid>
        <w:gridCol w:w="2968"/>
        <w:gridCol w:w="2087"/>
        <w:gridCol w:w="2081"/>
        <w:gridCol w:w="2224"/>
      </w:tblGrid>
      <w:tr w:rsidR="006E16F8" w:rsidRPr="00813827" w:rsidTr="00C155D2">
        <w:tc>
          <w:tcPr>
            <w:tcW w:w="2968" w:type="dxa"/>
            <w:shd w:val="clear" w:color="auto" w:fill="4F81BD" w:themeFill="accent1"/>
          </w:tcPr>
          <w:p w:rsidR="006E16F8" w:rsidRPr="00813827" w:rsidRDefault="00C041FB" w:rsidP="00DB7F53">
            <w:pPr>
              <w:rPr>
                <w:rFonts w:cstheme="minorHAnsi"/>
                <w:b/>
                <w:color w:val="FFFFFF" w:themeColor="background1"/>
                <w:sz w:val="20"/>
                <w:szCs w:val="20"/>
              </w:rPr>
            </w:pPr>
            <w:r>
              <w:rPr>
                <w:rFonts w:cstheme="minorHAnsi"/>
                <w:b/>
                <w:color w:val="FFFFFF" w:themeColor="background1"/>
                <w:sz w:val="20"/>
                <w:szCs w:val="20"/>
              </w:rPr>
              <w:t>Tap</w:t>
            </w:r>
            <w:r w:rsidR="006E16F8" w:rsidRPr="00813827">
              <w:rPr>
                <w:rFonts w:cstheme="minorHAnsi"/>
                <w:b/>
                <w:color w:val="FFFFFF" w:themeColor="background1"/>
                <w:sz w:val="20"/>
                <w:szCs w:val="20"/>
              </w:rPr>
              <w:t xml:space="preserve"> Time</w:t>
            </w:r>
            <w:r w:rsidR="006E16F8">
              <w:rPr>
                <w:rFonts w:cstheme="minorHAnsi"/>
                <w:b/>
                <w:color w:val="FFFFFF" w:themeColor="background1"/>
                <w:sz w:val="20"/>
                <w:szCs w:val="20"/>
              </w:rPr>
              <w:t xml:space="preserve">s </w:t>
            </w:r>
          </w:p>
        </w:tc>
        <w:tc>
          <w:tcPr>
            <w:tcW w:w="2087" w:type="dxa"/>
            <w:shd w:val="clear" w:color="auto" w:fill="4F81BD" w:themeFill="accent1"/>
          </w:tcPr>
          <w:p w:rsidR="006E16F8" w:rsidRPr="00813827" w:rsidRDefault="006E16F8" w:rsidP="00DB7F53">
            <w:pPr>
              <w:jc w:val="center"/>
              <w:rPr>
                <w:rFonts w:cstheme="minorHAnsi"/>
                <w:b/>
                <w:color w:val="FFFFFF" w:themeColor="background1"/>
                <w:sz w:val="20"/>
                <w:szCs w:val="20"/>
              </w:rPr>
            </w:pPr>
            <w:r w:rsidRPr="00813827">
              <w:rPr>
                <w:rFonts w:cstheme="minorHAnsi"/>
                <w:b/>
                <w:color w:val="FFFFFF" w:themeColor="background1"/>
                <w:sz w:val="20"/>
                <w:szCs w:val="20"/>
              </w:rPr>
              <w:t>Count</w:t>
            </w:r>
          </w:p>
        </w:tc>
        <w:tc>
          <w:tcPr>
            <w:tcW w:w="2081" w:type="dxa"/>
            <w:shd w:val="clear" w:color="auto" w:fill="4F81BD" w:themeFill="accent1"/>
          </w:tcPr>
          <w:p w:rsidR="006E16F8" w:rsidRPr="00813827" w:rsidRDefault="006E16F8" w:rsidP="00DB7F53">
            <w:pPr>
              <w:jc w:val="center"/>
              <w:rPr>
                <w:rFonts w:cstheme="minorHAnsi"/>
                <w:b/>
                <w:color w:val="FFFFFF" w:themeColor="background1"/>
                <w:sz w:val="20"/>
                <w:szCs w:val="20"/>
              </w:rPr>
            </w:pPr>
            <w:r w:rsidRPr="00813827">
              <w:rPr>
                <w:rFonts w:cstheme="minorHAnsi"/>
                <w:b/>
                <w:color w:val="FFFFFF" w:themeColor="background1"/>
                <w:sz w:val="20"/>
                <w:szCs w:val="20"/>
              </w:rPr>
              <w:t>Percent</w:t>
            </w:r>
          </w:p>
        </w:tc>
        <w:tc>
          <w:tcPr>
            <w:tcW w:w="2224" w:type="dxa"/>
            <w:shd w:val="clear" w:color="auto" w:fill="4F81BD" w:themeFill="accent1"/>
          </w:tcPr>
          <w:p w:rsidR="006E16F8" w:rsidRPr="00813827" w:rsidRDefault="006E16F8" w:rsidP="00DB7F53">
            <w:pPr>
              <w:jc w:val="center"/>
              <w:rPr>
                <w:rFonts w:cstheme="minorHAnsi"/>
                <w:b/>
                <w:color w:val="FFFFFF" w:themeColor="background1"/>
                <w:sz w:val="20"/>
                <w:szCs w:val="20"/>
              </w:rPr>
            </w:pPr>
            <w:r w:rsidRPr="00813827">
              <w:rPr>
                <w:rFonts w:cstheme="minorHAnsi"/>
                <w:b/>
                <w:color w:val="FFFFFF" w:themeColor="background1"/>
                <w:sz w:val="20"/>
                <w:szCs w:val="20"/>
              </w:rPr>
              <w:t>Cumulative</w:t>
            </w:r>
          </w:p>
        </w:tc>
      </w:tr>
      <w:tr w:rsidR="00340C1F" w:rsidRPr="00C615FB" w:rsidTr="00C155D2">
        <w:tc>
          <w:tcPr>
            <w:tcW w:w="2968" w:type="dxa"/>
          </w:tcPr>
          <w:p w:rsidR="00340C1F" w:rsidRPr="00C615FB" w:rsidRDefault="00340C1F" w:rsidP="00340C1F">
            <w:pPr>
              <w:rPr>
                <w:rFonts w:cstheme="minorHAnsi"/>
                <w:sz w:val="20"/>
                <w:szCs w:val="20"/>
              </w:rPr>
            </w:pPr>
            <w:r w:rsidRPr="00C615FB">
              <w:rPr>
                <w:rFonts w:cstheme="minorHAnsi"/>
                <w:sz w:val="20"/>
                <w:szCs w:val="20"/>
              </w:rPr>
              <w:t>≤ 0.5 Seconds</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340C1F" w:rsidRPr="00340C1F" w:rsidRDefault="00340C1F" w:rsidP="00C90114">
            <w:pPr>
              <w:jc w:val="center"/>
              <w:rPr>
                <w:rFonts w:cstheme="minorHAnsi"/>
                <w:sz w:val="20"/>
                <w:szCs w:val="20"/>
              </w:rPr>
            </w:pPr>
            <w:r w:rsidRPr="00340C1F">
              <w:rPr>
                <w:rFonts w:cstheme="minorHAnsi"/>
                <w:sz w:val="20"/>
                <w:szCs w:val="20"/>
              </w:rPr>
              <w:t>18,140,557</w:t>
            </w:r>
          </w:p>
        </w:tc>
        <w:tc>
          <w:tcPr>
            <w:tcW w:w="2081" w:type="dxa"/>
            <w:tcBorders>
              <w:top w:val="single" w:sz="4" w:space="0" w:color="auto"/>
              <w:left w:val="nil"/>
              <w:bottom w:val="single" w:sz="4" w:space="0" w:color="auto"/>
              <w:right w:val="single" w:sz="4" w:space="0" w:color="auto"/>
            </w:tcBorders>
            <w:shd w:val="clear" w:color="auto" w:fill="auto"/>
            <w:vAlign w:val="center"/>
          </w:tcPr>
          <w:p w:rsidR="00340C1F" w:rsidRPr="00340C1F" w:rsidRDefault="00340C1F" w:rsidP="00C90114">
            <w:pPr>
              <w:jc w:val="center"/>
              <w:rPr>
                <w:rFonts w:cstheme="minorHAnsi"/>
                <w:sz w:val="20"/>
                <w:szCs w:val="20"/>
              </w:rPr>
            </w:pPr>
            <w:r w:rsidRPr="00340C1F">
              <w:rPr>
                <w:rFonts w:cstheme="minorHAnsi"/>
                <w:sz w:val="20"/>
                <w:szCs w:val="20"/>
              </w:rPr>
              <w:t>61.68%</w:t>
            </w:r>
          </w:p>
        </w:tc>
        <w:tc>
          <w:tcPr>
            <w:tcW w:w="22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0C1F" w:rsidRPr="00340C1F" w:rsidRDefault="00340C1F" w:rsidP="00C90114">
            <w:pPr>
              <w:jc w:val="center"/>
              <w:rPr>
                <w:rFonts w:cstheme="minorHAnsi"/>
                <w:sz w:val="20"/>
                <w:szCs w:val="20"/>
              </w:rPr>
            </w:pPr>
            <w:r w:rsidRPr="00340C1F">
              <w:rPr>
                <w:rFonts w:cstheme="minorHAnsi"/>
                <w:sz w:val="20"/>
                <w:szCs w:val="20"/>
              </w:rPr>
              <w:t>65.54%</w:t>
            </w:r>
          </w:p>
        </w:tc>
      </w:tr>
      <w:tr w:rsidR="00340C1F" w:rsidRPr="00C615FB" w:rsidTr="00C155D2">
        <w:trPr>
          <w:trHeight w:val="224"/>
        </w:trPr>
        <w:tc>
          <w:tcPr>
            <w:tcW w:w="2968" w:type="dxa"/>
          </w:tcPr>
          <w:p w:rsidR="00340C1F" w:rsidRPr="00C615FB" w:rsidRDefault="00340C1F" w:rsidP="00340C1F">
            <w:pPr>
              <w:rPr>
                <w:rFonts w:cstheme="minorHAnsi"/>
                <w:sz w:val="20"/>
                <w:szCs w:val="20"/>
              </w:rPr>
            </w:pPr>
            <w:r w:rsidRPr="00C615FB">
              <w:rPr>
                <w:rFonts w:cstheme="minorHAnsi"/>
                <w:sz w:val="20"/>
                <w:szCs w:val="20"/>
              </w:rPr>
              <w:t>0.6 Seconds – 1.0 Seconds</w:t>
            </w:r>
          </w:p>
        </w:tc>
        <w:tc>
          <w:tcPr>
            <w:tcW w:w="2087" w:type="dxa"/>
            <w:tcBorders>
              <w:top w:val="nil"/>
              <w:left w:val="single" w:sz="4" w:space="0" w:color="auto"/>
              <w:bottom w:val="single" w:sz="4" w:space="0" w:color="auto"/>
              <w:right w:val="single" w:sz="4" w:space="0" w:color="auto"/>
            </w:tcBorders>
            <w:shd w:val="clear" w:color="auto" w:fill="auto"/>
            <w:vAlign w:val="center"/>
          </w:tcPr>
          <w:p w:rsidR="00340C1F" w:rsidRPr="00434E27" w:rsidRDefault="00340C1F" w:rsidP="00C90114">
            <w:pPr>
              <w:jc w:val="center"/>
              <w:rPr>
                <w:rFonts w:cstheme="minorHAnsi"/>
                <w:sz w:val="20"/>
                <w:szCs w:val="20"/>
              </w:rPr>
            </w:pPr>
            <w:r w:rsidRPr="00340C1F">
              <w:rPr>
                <w:rFonts w:cstheme="minorHAnsi"/>
                <w:sz w:val="20"/>
                <w:szCs w:val="20"/>
              </w:rPr>
              <w:t>1,136,964</w:t>
            </w:r>
          </w:p>
        </w:tc>
        <w:tc>
          <w:tcPr>
            <w:tcW w:w="2081" w:type="dxa"/>
            <w:tcBorders>
              <w:top w:val="nil"/>
              <w:left w:val="nil"/>
              <w:bottom w:val="single" w:sz="4" w:space="0" w:color="auto"/>
              <w:right w:val="single" w:sz="4" w:space="0" w:color="auto"/>
            </w:tcBorders>
            <w:shd w:val="clear" w:color="auto" w:fill="auto"/>
            <w:vAlign w:val="center"/>
          </w:tcPr>
          <w:p w:rsidR="00340C1F" w:rsidRPr="00434E27" w:rsidRDefault="00340C1F" w:rsidP="00C90114">
            <w:pPr>
              <w:jc w:val="center"/>
              <w:rPr>
                <w:rFonts w:cstheme="minorHAnsi"/>
                <w:sz w:val="20"/>
                <w:szCs w:val="20"/>
              </w:rPr>
            </w:pPr>
            <w:r w:rsidRPr="00340C1F">
              <w:rPr>
                <w:rFonts w:cstheme="minorHAnsi"/>
                <w:sz w:val="20"/>
                <w:szCs w:val="20"/>
              </w:rPr>
              <w:t>3.87%</w:t>
            </w:r>
          </w:p>
        </w:tc>
        <w:tc>
          <w:tcPr>
            <w:tcW w:w="2224" w:type="dxa"/>
            <w:vMerge/>
            <w:tcBorders>
              <w:top w:val="single" w:sz="4" w:space="0" w:color="auto"/>
              <w:left w:val="single" w:sz="4" w:space="0" w:color="auto"/>
              <w:bottom w:val="single" w:sz="4" w:space="0" w:color="auto"/>
              <w:right w:val="single" w:sz="4" w:space="0" w:color="auto"/>
            </w:tcBorders>
            <w:vAlign w:val="center"/>
          </w:tcPr>
          <w:p w:rsidR="00340C1F" w:rsidRPr="00434E27" w:rsidRDefault="00340C1F" w:rsidP="00C90114">
            <w:pPr>
              <w:jc w:val="center"/>
              <w:rPr>
                <w:rFonts w:cstheme="minorHAnsi"/>
                <w:sz w:val="20"/>
                <w:szCs w:val="20"/>
              </w:rPr>
            </w:pPr>
          </w:p>
        </w:tc>
      </w:tr>
      <w:tr w:rsidR="00340C1F" w:rsidRPr="00C615FB" w:rsidTr="00C155D2">
        <w:tc>
          <w:tcPr>
            <w:tcW w:w="2968" w:type="dxa"/>
          </w:tcPr>
          <w:p w:rsidR="00340C1F" w:rsidRPr="00C615FB" w:rsidRDefault="00340C1F" w:rsidP="00340C1F">
            <w:pPr>
              <w:tabs>
                <w:tab w:val="right" w:pos="2752"/>
              </w:tabs>
              <w:rPr>
                <w:rFonts w:cstheme="minorHAnsi"/>
                <w:sz w:val="20"/>
                <w:szCs w:val="20"/>
              </w:rPr>
            </w:pPr>
            <w:r w:rsidRPr="00C615FB">
              <w:rPr>
                <w:rFonts w:cstheme="minorHAnsi"/>
                <w:sz w:val="20"/>
                <w:szCs w:val="20"/>
              </w:rPr>
              <w:t>1.1 Seconds – 2.5 Seconds</w:t>
            </w:r>
            <w:r w:rsidRPr="00C615FB">
              <w:rPr>
                <w:rFonts w:cstheme="minorHAnsi"/>
                <w:sz w:val="20"/>
                <w:szCs w:val="20"/>
              </w:rPr>
              <w:tab/>
            </w:r>
          </w:p>
        </w:tc>
        <w:tc>
          <w:tcPr>
            <w:tcW w:w="2087" w:type="dxa"/>
            <w:tcBorders>
              <w:top w:val="nil"/>
              <w:left w:val="single" w:sz="4" w:space="0" w:color="auto"/>
              <w:bottom w:val="single" w:sz="4" w:space="0" w:color="auto"/>
              <w:right w:val="single" w:sz="4" w:space="0" w:color="auto"/>
            </w:tcBorders>
            <w:shd w:val="clear" w:color="auto" w:fill="auto"/>
            <w:vAlign w:val="center"/>
          </w:tcPr>
          <w:p w:rsidR="00340C1F" w:rsidRPr="00340C1F" w:rsidRDefault="00340C1F" w:rsidP="00C90114">
            <w:pPr>
              <w:jc w:val="center"/>
              <w:rPr>
                <w:rFonts w:cstheme="minorHAnsi"/>
                <w:sz w:val="20"/>
                <w:szCs w:val="20"/>
              </w:rPr>
            </w:pPr>
            <w:r w:rsidRPr="00340C1F">
              <w:rPr>
                <w:rFonts w:cstheme="minorHAnsi"/>
                <w:sz w:val="20"/>
                <w:szCs w:val="20"/>
              </w:rPr>
              <w:t>10,119,729</w:t>
            </w:r>
          </w:p>
        </w:tc>
        <w:tc>
          <w:tcPr>
            <w:tcW w:w="2081" w:type="dxa"/>
            <w:tcBorders>
              <w:top w:val="nil"/>
              <w:left w:val="nil"/>
              <w:bottom w:val="single" w:sz="4" w:space="0" w:color="auto"/>
              <w:right w:val="single" w:sz="4" w:space="0" w:color="auto"/>
            </w:tcBorders>
            <w:shd w:val="clear" w:color="auto" w:fill="auto"/>
            <w:vAlign w:val="center"/>
          </w:tcPr>
          <w:p w:rsidR="00340C1F" w:rsidRPr="00340C1F" w:rsidRDefault="00340C1F" w:rsidP="00C90114">
            <w:pPr>
              <w:jc w:val="center"/>
              <w:rPr>
                <w:rFonts w:cstheme="minorHAnsi"/>
                <w:sz w:val="20"/>
                <w:szCs w:val="20"/>
              </w:rPr>
            </w:pPr>
            <w:r w:rsidRPr="00340C1F">
              <w:rPr>
                <w:rFonts w:cstheme="minorHAnsi"/>
                <w:sz w:val="20"/>
                <w:szCs w:val="20"/>
              </w:rPr>
              <w:t>34.41%</w:t>
            </w:r>
          </w:p>
        </w:tc>
        <w:tc>
          <w:tcPr>
            <w:tcW w:w="2224" w:type="dxa"/>
            <w:tcBorders>
              <w:top w:val="nil"/>
              <w:left w:val="nil"/>
              <w:bottom w:val="single" w:sz="4" w:space="0" w:color="auto"/>
              <w:right w:val="single" w:sz="4" w:space="0" w:color="auto"/>
            </w:tcBorders>
            <w:shd w:val="clear" w:color="auto" w:fill="auto"/>
            <w:vAlign w:val="center"/>
          </w:tcPr>
          <w:p w:rsidR="00340C1F" w:rsidRPr="00340C1F" w:rsidRDefault="00340C1F" w:rsidP="00C90114">
            <w:pPr>
              <w:jc w:val="center"/>
              <w:rPr>
                <w:rFonts w:cstheme="minorHAnsi"/>
                <w:sz w:val="20"/>
                <w:szCs w:val="20"/>
              </w:rPr>
            </w:pPr>
            <w:r w:rsidRPr="00340C1F">
              <w:rPr>
                <w:rFonts w:cstheme="minorHAnsi"/>
                <w:sz w:val="20"/>
                <w:szCs w:val="20"/>
              </w:rPr>
              <w:t>34.41%</w:t>
            </w:r>
          </w:p>
        </w:tc>
      </w:tr>
      <w:tr w:rsidR="00340C1F" w:rsidRPr="00C615FB" w:rsidTr="00C155D2">
        <w:tc>
          <w:tcPr>
            <w:tcW w:w="2968" w:type="dxa"/>
          </w:tcPr>
          <w:p w:rsidR="00340C1F" w:rsidRPr="00C615FB" w:rsidRDefault="00340C1F" w:rsidP="00340C1F">
            <w:pPr>
              <w:rPr>
                <w:rFonts w:cstheme="minorHAnsi"/>
                <w:sz w:val="20"/>
                <w:szCs w:val="20"/>
              </w:rPr>
            </w:pPr>
            <w:r w:rsidRPr="00C615FB">
              <w:rPr>
                <w:rFonts w:cstheme="minorHAnsi"/>
                <w:sz w:val="20"/>
                <w:szCs w:val="20"/>
              </w:rPr>
              <w:t>&gt; 2.5 Seconds</w:t>
            </w:r>
          </w:p>
        </w:tc>
        <w:tc>
          <w:tcPr>
            <w:tcW w:w="2087" w:type="dxa"/>
            <w:tcBorders>
              <w:top w:val="nil"/>
              <w:left w:val="single" w:sz="4" w:space="0" w:color="auto"/>
              <w:bottom w:val="single" w:sz="4" w:space="0" w:color="auto"/>
              <w:right w:val="single" w:sz="4" w:space="0" w:color="auto"/>
            </w:tcBorders>
            <w:shd w:val="clear" w:color="auto" w:fill="auto"/>
            <w:vAlign w:val="center"/>
          </w:tcPr>
          <w:p w:rsidR="00340C1F" w:rsidRPr="00340C1F" w:rsidRDefault="00340C1F" w:rsidP="00C90114">
            <w:pPr>
              <w:jc w:val="center"/>
              <w:rPr>
                <w:rFonts w:cstheme="minorHAnsi"/>
                <w:sz w:val="20"/>
                <w:szCs w:val="20"/>
              </w:rPr>
            </w:pPr>
            <w:r w:rsidRPr="00340C1F">
              <w:rPr>
                <w:rFonts w:cstheme="minorHAnsi"/>
                <w:sz w:val="20"/>
                <w:szCs w:val="20"/>
              </w:rPr>
              <w:t>15,348</w:t>
            </w:r>
          </w:p>
        </w:tc>
        <w:tc>
          <w:tcPr>
            <w:tcW w:w="2081" w:type="dxa"/>
            <w:tcBorders>
              <w:top w:val="nil"/>
              <w:left w:val="nil"/>
              <w:bottom w:val="single" w:sz="4" w:space="0" w:color="auto"/>
              <w:right w:val="single" w:sz="4" w:space="0" w:color="auto"/>
            </w:tcBorders>
            <w:shd w:val="clear" w:color="auto" w:fill="auto"/>
            <w:vAlign w:val="center"/>
          </w:tcPr>
          <w:p w:rsidR="00340C1F" w:rsidRPr="00340C1F" w:rsidRDefault="00340C1F" w:rsidP="00C90114">
            <w:pPr>
              <w:jc w:val="center"/>
              <w:rPr>
                <w:rFonts w:cstheme="minorHAnsi"/>
                <w:sz w:val="20"/>
                <w:szCs w:val="20"/>
              </w:rPr>
            </w:pPr>
            <w:r w:rsidRPr="00340C1F">
              <w:rPr>
                <w:rFonts w:cstheme="minorHAnsi"/>
                <w:sz w:val="20"/>
                <w:szCs w:val="20"/>
              </w:rPr>
              <w:t>0.05%</w:t>
            </w:r>
          </w:p>
        </w:tc>
        <w:tc>
          <w:tcPr>
            <w:tcW w:w="2224" w:type="dxa"/>
            <w:tcBorders>
              <w:top w:val="nil"/>
              <w:left w:val="nil"/>
              <w:bottom w:val="single" w:sz="4" w:space="0" w:color="auto"/>
              <w:right w:val="single" w:sz="4" w:space="0" w:color="auto"/>
            </w:tcBorders>
            <w:shd w:val="clear" w:color="auto" w:fill="auto"/>
            <w:vAlign w:val="center"/>
          </w:tcPr>
          <w:p w:rsidR="00340C1F" w:rsidRPr="00340C1F" w:rsidRDefault="00340C1F" w:rsidP="00C90114">
            <w:pPr>
              <w:jc w:val="center"/>
              <w:rPr>
                <w:rFonts w:cstheme="minorHAnsi"/>
                <w:sz w:val="20"/>
                <w:szCs w:val="20"/>
              </w:rPr>
            </w:pPr>
            <w:r w:rsidRPr="00340C1F">
              <w:rPr>
                <w:rFonts w:cstheme="minorHAnsi"/>
                <w:sz w:val="20"/>
                <w:szCs w:val="20"/>
              </w:rPr>
              <w:t>0.05%</w:t>
            </w:r>
          </w:p>
        </w:tc>
      </w:tr>
    </w:tbl>
    <w:p w:rsidR="00D7518C" w:rsidRPr="00C615FB" w:rsidRDefault="00D7518C" w:rsidP="00B111ED">
      <w:pPr>
        <w:spacing w:after="0" w:line="240" w:lineRule="auto"/>
        <w:rPr>
          <w:color w:val="1F497D" w:themeColor="text2"/>
        </w:rPr>
      </w:pPr>
    </w:p>
    <w:p w:rsidR="0043460E" w:rsidRPr="00F14A99" w:rsidRDefault="00D7518C" w:rsidP="0043460E">
      <w:pPr>
        <w:spacing w:after="0" w:line="240" w:lineRule="auto"/>
        <w:rPr>
          <w:rFonts w:cstheme="minorHAnsi"/>
        </w:rPr>
      </w:pPr>
      <w:r w:rsidRPr="00F14A99">
        <w:rPr>
          <w:rFonts w:cstheme="minorHAnsi"/>
        </w:rPr>
        <w:t xml:space="preserve">The graphic below represents the aggregated tap times for </w:t>
      </w:r>
      <w:r w:rsidR="00636845" w:rsidRPr="00F14A99">
        <w:rPr>
          <w:rFonts w:cstheme="minorHAnsi"/>
        </w:rPr>
        <w:t>bus</w:t>
      </w:r>
      <w:r w:rsidRPr="00F14A99">
        <w:rPr>
          <w:rFonts w:cstheme="minorHAnsi"/>
        </w:rPr>
        <w:t xml:space="preserve"> by hour. </w:t>
      </w:r>
      <w:r w:rsidR="0043460E">
        <w:rPr>
          <w:rFonts w:cstheme="minorHAnsi"/>
        </w:rPr>
        <w:t xml:space="preserve">The data demonstrates expected results throughout the operating period. </w:t>
      </w:r>
    </w:p>
    <w:p w:rsidR="00636845" w:rsidRPr="00B36637" w:rsidRDefault="00636845" w:rsidP="00636845">
      <w:pPr>
        <w:spacing w:after="0" w:line="240" w:lineRule="auto"/>
        <w:rPr>
          <w:rFonts w:cstheme="minorHAnsi"/>
          <w:color w:val="1F497D" w:themeColor="text2"/>
          <w:sz w:val="12"/>
          <w:szCs w:val="12"/>
        </w:rPr>
      </w:pPr>
    </w:p>
    <w:p w:rsidR="007D71B6" w:rsidRDefault="007D71B6" w:rsidP="00D7518C">
      <w:pPr>
        <w:spacing w:after="0"/>
        <w:rPr>
          <w:color w:val="1F497D" w:themeColor="text2"/>
          <w:sz w:val="12"/>
          <w:szCs w:val="12"/>
        </w:rPr>
      </w:pPr>
    </w:p>
    <w:p w:rsidR="009E4B88" w:rsidRPr="0092361F" w:rsidRDefault="00340C1F" w:rsidP="00D7518C">
      <w:pPr>
        <w:spacing w:after="0"/>
        <w:rPr>
          <w:color w:val="1F497D" w:themeColor="text2"/>
          <w:sz w:val="12"/>
          <w:szCs w:val="12"/>
        </w:rPr>
      </w:pPr>
      <w:r>
        <w:rPr>
          <w:noProof/>
        </w:rPr>
        <w:drawing>
          <wp:inline distT="0" distB="0" distL="0" distR="0" wp14:anchorId="656FAC91" wp14:editId="083C2C3E">
            <wp:extent cx="5943600" cy="2286000"/>
            <wp:effectExtent l="0" t="0" r="19050" b="190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3460E" w:rsidRDefault="0043460E" w:rsidP="00D7518C">
      <w:pPr>
        <w:spacing w:after="0"/>
        <w:rPr>
          <w:rFonts w:cstheme="minorHAnsi"/>
          <w:b/>
          <w:u w:val="single"/>
        </w:rPr>
      </w:pPr>
    </w:p>
    <w:p w:rsidR="0017756B" w:rsidRDefault="0017756B">
      <w:pPr>
        <w:rPr>
          <w:rFonts w:cstheme="minorHAnsi"/>
          <w:b/>
          <w:u w:val="single"/>
        </w:rPr>
      </w:pPr>
      <w:r>
        <w:rPr>
          <w:rFonts w:cstheme="minorHAnsi"/>
          <w:b/>
          <w:u w:val="single"/>
        </w:rPr>
        <w:br w:type="page"/>
      </w:r>
    </w:p>
    <w:p w:rsidR="007D71B6" w:rsidRDefault="007D71B6" w:rsidP="00D7518C">
      <w:pPr>
        <w:spacing w:after="0"/>
        <w:rPr>
          <w:rFonts w:cstheme="minorHAnsi"/>
          <w:b/>
          <w:u w:val="single"/>
        </w:rPr>
      </w:pPr>
      <w:r>
        <w:rPr>
          <w:rFonts w:cstheme="minorHAnsi"/>
          <w:b/>
          <w:u w:val="single"/>
        </w:rPr>
        <w:lastRenderedPageBreak/>
        <w:t>Availability</w:t>
      </w:r>
    </w:p>
    <w:p w:rsidR="007D71B6" w:rsidRPr="00B36637" w:rsidRDefault="007D71B6" w:rsidP="00D7518C">
      <w:pPr>
        <w:spacing w:after="0"/>
        <w:rPr>
          <w:color w:val="1F497D" w:themeColor="text2"/>
          <w:sz w:val="12"/>
          <w:szCs w:val="12"/>
        </w:rPr>
      </w:pPr>
    </w:p>
    <w:p w:rsidR="00D41B4E" w:rsidRDefault="00ED4853" w:rsidP="00D41B4E">
      <w:pPr>
        <w:rPr>
          <w:color w:val="1F497D"/>
        </w:rPr>
      </w:pPr>
      <w:r>
        <w:rPr>
          <w:rFonts w:ascii="Calibri" w:hAnsi="Calibri" w:cs="Calibri"/>
          <w:color w:val="000000"/>
        </w:rPr>
        <w:t>The table below</w:t>
      </w:r>
      <w:r w:rsidR="00271C16" w:rsidRPr="00E2706B">
        <w:rPr>
          <w:rFonts w:ascii="Calibri" w:hAnsi="Calibri" w:cs="Calibri"/>
          <w:color w:val="000000"/>
        </w:rPr>
        <w:t xml:space="preserve"> represents the availability percentages</w:t>
      </w:r>
      <w:r w:rsidR="003F4A9F" w:rsidRPr="00E2706B">
        <w:rPr>
          <w:rFonts w:ascii="Calibri" w:hAnsi="Calibri" w:cs="Calibri"/>
          <w:color w:val="000000"/>
        </w:rPr>
        <w:t xml:space="preserve"> for the rail </w:t>
      </w:r>
      <w:r w:rsidR="0031437F">
        <w:rPr>
          <w:rFonts w:ascii="Calibri" w:hAnsi="Calibri" w:cs="Calibri"/>
          <w:color w:val="000000"/>
        </w:rPr>
        <w:t xml:space="preserve">and bus </w:t>
      </w:r>
      <w:r w:rsidR="003F4A9F" w:rsidRPr="00E2706B">
        <w:rPr>
          <w:rFonts w:ascii="Calibri" w:hAnsi="Calibri" w:cs="Calibri"/>
          <w:color w:val="000000"/>
        </w:rPr>
        <w:t>system</w:t>
      </w:r>
      <w:r w:rsidR="004343F9">
        <w:rPr>
          <w:rFonts w:ascii="Calibri" w:hAnsi="Calibri" w:cs="Calibri"/>
          <w:color w:val="000000"/>
        </w:rPr>
        <w:t xml:space="preserve"> over the</w:t>
      </w:r>
      <w:r w:rsidR="00594FD2">
        <w:rPr>
          <w:rFonts w:ascii="Calibri" w:hAnsi="Calibri" w:cs="Calibri"/>
          <w:color w:val="000000"/>
        </w:rPr>
        <w:t xml:space="preserve"> four-week period ending </w:t>
      </w:r>
      <w:r w:rsidR="00C90114">
        <w:rPr>
          <w:rFonts w:ascii="Calibri" w:hAnsi="Calibri" w:cs="Calibri"/>
          <w:color w:val="000000"/>
        </w:rPr>
        <w:t>January 26</w:t>
      </w:r>
      <w:r w:rsidR="00271C16" w:rsidRPr="00E2706B">
        <w:rPr>
          <w:rFonts w:ascii="Calibri" w:hAnsi="Calibri" w:cs="Calibri"/>
          <w:color w:val="000000"/>
        </w:rPr>
        <w:t>.</w:t>
      </w:r>
      <w:r w:rsidR="00594FD2">
        <w:rPr>
          <w:rFonts w:ascii="Calibri" w:hAnsi="Calibri" w:cs="Calibri"/>
          <w:color w:val="000000"/>
        </w:rPr>
        <w:t xml:space="preserve"> </w:t>
      </w:r>
      <w:r w:rsidR="00271C16" w:rsidRPr="00E2706B">
        <w:rPr>
          <w:rFonts w:ascii="Calibri" w:hAnsi="Calibri" w:cs="Calibri"/>
          <w:color w:val="000000"/>
        </w:rPr>
        <w:t xml:space="preserve"> </w:t>
      </w:r>
      <w:r w:rsidR="004343F9" w:rsidRPr="004343F9">
        <w:rPr>
          <w:rFonts w:ascii="Calibri" w:hAnsi="Calibri" w:cs="Calibri"/>
          <w:color w:val="000000"/>
        </w:rPr>
        <w:t>Availability is a measure of the average amount of time in a 24-hour period a Ventra reader or vending mac</w:t>
      </w:r>
      <w:r w:rsidR="00A23D93">
        <w:rPr>
          <w:rFonts w:ascii="Calibri" w:hAnsi="Calibri" w:cs="Calibri"/>
          <w:color w:val="000000"/>
        </w:rPr>
        <w:t xml:space="preserve">hine is available to customers. </w:t>
      </w:r>
      <w:r w:rsidR="004343F9" w:rsidRPr="004343F9">
        <w:rPr>
          <w:rFonts w:ascii="Calibri" w:hAnsi="Calibri" w:cs="Calibri"/>
          <w:color w:val="000000"/>
        </w:rPr>
        <w:t xml:space="preserve"> Any time a reader/vending machine is not working, a maintenance ticket is opened—and is only closed after the reader/ve</w:t>
      </w:r>
      <w:r w:rsidR="00A23D93">
        <w:rPr>
          <w:rFonts w:ascii="Calibri" w:hAnsi="Calibri" w:cs="Calibri"/>
          <w:color w:val="000000"/>
        </w:rPr>
        <w:t xml:space="preserve">nding machine is working again. </w:t>
      </w:r>
      <w:r w:rsidR="004343F9" w:rsidRPr="004343F9">
        <w:rPr>
          <w:rFonts w:ascii="Calibri" w:hAnsi="Calibri" w:cs="Calibri"/>
          <w:color w:val="000000"/>
        </w:rPr>
        <w:t xml:space="preserve"> Using </w:t>
      </w:r>
      <w:r w:rsidR="004343F9">
        <w:rPr>
          <w:rFonts w:ascii="Calibri" w:hAnsi="Calibri" w:cs="Calibri"/>
          <w:color w:val="000000"/>
        </w:rPr>
        <w:t>T</w:t>
      </w:r>
      <w:r w:rsidR="004343F9" w:rsidRPr="004343F9">
        <w:rPr>
          <w:rFonts w:ascii="Calibri" w:hAnsi="Calibri" w:cs="Calibri"/>
          <w:color w:val="000000"/>
        </w:rPr>
        <w:t xml:space="preserve">urnstile </w:t>
      </w:r>
      <w:r w:rsidR="004343F9">
        <w:rPr>
          <w:rFonts w:ascii="Calibri" w:hAnsi="Calibri" w:cs="Calibri"/>
          <w:color w:val="000000"/>
        </w:rPr>
        <w:t>G</w:t>
      </w:r>
      <w:r w:rsidR="004343F9" w:rsidRPr="004343F9">
        <w:rPr>
          <w:rFonts w:ascii="Calibri" w:hAnsi="Calibri" w:cs="Calibri"/>
          <w:color w:val="000000"/>
        </w:rPr>
        <w:t xml:space="preserve">ates as an </w:t>
      </w:r>
      <w:r w:rsidR="004343F9" w:rsidRPr="00D736E2">
        <w:rPr>
          <w:rFonts w:ascii="Calibri" w:hAnsi="Calibri" w:cs="Calibri"/>
          <w:color w:val="000000"/>
        </w:rPr>
        <w:t>example: 99.</w:t>
      </w:r>
      <w:r w:rsidR="00A23D93">
        <w:rPr>
          <w:rFonts w:ascii="Calibri" w:hAnsi="Calibri" w:cs="Calibri"/>
          <w:color w:val="000000"/>
        </w:rPr>
        <w:t>8</w:t>
      </w:r>
      <w:r w:rsidR="004343F9" w:rsidRPr="00D736E2">
        <w:rPr>
          <w:rFonts w:ascii="Calibri" w:hAnsi="Calibri" w:cs="Calibri"/>
          <w:color w:val="000000"/>
        </w:rPr>
        <w:t xml:space="preserve"> percent availability </w:t>
      </w:r>
      <w:r w:rsidR="00C93D9E" w:rsidRPr="006B6E94">
        <w:rPr>
          <w:rFonts w:ascii="Calibri" w:hAnsi="Calibri" w:cs="Calibri"/>
          <w:color w:val="000000"/>
        </w:rPr>
        <w:t>indicates</w:t>
      </w:r>
      <w:r w:rsidR="004343F9" w:rsidRPr="006B6E94">
        <w:rPr>
          <w:rFonts w:ascii="Calibri" w:hAnsi="Calibri" w:cs="Calibri"/>
          <w:color w:val="000000"/>
        </w:rPr>
        <w:t xml:space="preserve"> that, on average across the system, turnstile gates are </w:t>
      </w:r>
      <w:r w:rsidR="00C93D9E" w:rsidRPr="006B6E94">
        <w:rPr>
          <w:rFonts w:ascii="Calibri" w:hAnsi="Calibri" w:cs="Calibri"/>
          <w:color w:val="000000"/>
        </w:rPr>
        <w:t>operational</w:t>
      </w:r>
      <w:r w:rsidR="004343F9" w:rsidRPr="006B6E94">
        <w:rPr>
          <w:rFonts w:ascii="Calibri" w:hAnsi="Calibri" w:cs="Calibri"/>
          <w:color w:val="000000"/>
        </w:rPr>
        <w:t xml:space="preserve"> 23 hours and </w:t>
      </w:r>
      <w:r w:rsidR="00AF546C" w:rsidRPr="006B6E94">
        <w:rPr>
          <w:rFonts w:ascii="Calibri" w:hAnsi="Calibri" w:cs="Calibri"/>
          <w:color w:val="000000"/>
        </w:rPr>
        <w:t>57.1</w:t>
      </w:r>
      <w:r w:rsidR="004343F9" w:rsidRPr="006B6E94">
        <w:rPr>
          <w:rFonts w:ascii="Calibri" w:hAnsi="Calibri" w:cs="Calibri"/>
          <w:color w:val="000000"/>
        </w:rPr>
        <w:t xml:space="preserve"> minutes per day.</w:t>
      </w:r>
      <w:r w:rsidR="00D41B4E" w:rsidRPr="006B6E94">
        <w:rPr>
          <w:rFonts w:ascii="Calibri" w:hAnsi="Calibri" w:cs="Calibri"/>
          <w:color w:val="000000"/>
        </w:rPr>
        <w:t xml:space="preserve"> To </w:t>
      </w:r>
      <w:r w:rsidR="00317238" w:rsidRPr="006B6E94">
        <w:rPr>
          <w:rFonts w:ascii="Calibri" w:hAnsi="Calibri" w:cs="Calibri"/>
          <w:color w:val="000000"/>
        </w:rPr>
        <w:t>ensure continued system availability</w:t>
      </w:r>
      <w:r w:rsidR="00D41B4E" w:rsidRPr="006B6E94">
        <w:rPr>
          <w:rFonts w:ascii="Calibri" w:hAnsi="Calibri" w:cs="Calibri"/>
          <w:color w:val="000000"/>
        </w:rPr>
        <w:t xml:space="preserve">, Cubic </w:t>
      </w:r>
      <w:r w:rsidR="00D41B4E" w:rsidRPr="006B6E94">
        <w:rPr>
          <w:color w:val="000000" w:themeColor="text1"/>
        </w:rPr>
        <w:t>increased the number of service technicians and developed zoned service areas to ensure technicians can respond to reported issues as quickly as possible</w:t>
      </w:r>
      <w:r w:rsidR="00D41B4E" w:rsidRPr="00296BD5">
        <w:rPr>
          <w:color w:val="000000" w:themeColor="text1"/>
        </w:rPr>
        <w:t>.</w:t>
      </w:r>
    </w:p>
    <w:tbl>
      <w:tblPr>
        <w:tblStyle w:val="TableGrid"/>
        <w:tblW w:w="9630" w:type="dxa"/>
        <w:tblInd w:w="108" w:type="dxa"/>
        <w:tblLook w:val="04A0" w:firstRow="1" w:lastRow="0" w:firstColumn="1" w:lastColumn="0" w:noHBand="0" w:noVBand="1"/>
      </w:tblPr>
      <w:tblGrid>
        <w:gridCol w:w="1867"/>
        <w:gridCol w:w="1620"/>
        <w:gridCol w:w="1530"/>
        <w:gridCol w:w="1481"/>
        <w:gridCol w:w="1566"/>
        <w:gridCol w:w="1566"/>
      </w:tblGrid>
      <w:tr w:rsidR="00A74996" w:rsidTr="009C11DE">
        <w:tc>
          <w:tcPr>
            <w:tcW w:w="1867" w:type="dxa"/>
            <w:shd w:val="clear" w:color="auto" w:fill="4F81BD" w:themeFill="accent1"/>
            <w:vAlign w:val="center"/>
          </w:tcPr>
          <w:p w:rsidR="00A74996" w:rsidRPr="0092361F" w:rsidRDefault="00A74996" w:rsidP="00953720">
            <w:pPr>
              <w:rPr>
                <w:b/>
                <w:color w:val="FFFFFF" w:themeColor="background1"/>
                <w:sz w:val="20"/>
                <w:szCs w:val="20"/>
              </w:rPr>
            </w:pPr>
            <w:r w:rsidRPr="0092361F">
              <w:rPr>
                <w:b/>
                <w:color w:val="FFFFFF" w:themeColor="background1"/>
                <w:sz w:val="20"/>
                <w:szCs w:val="20"/>
              </w:rPr>
              <w:t>Device</w:t>
            </w:r>
            <w:r>
              <w:rPr>
                <w:b/>
                <w:color w:val="FFFFFF" w:themeColor="background1"/>
                <w:sz w:val="20"/>
                <w:szCs w:val="20"/>
              </w:rPr>
              <w:t xml:space="preserve"> Type</w:t>
            </w:r>
          </w:p>
        </w:tc>
        <w:tc>
          <w:tcPr>
            <w:tcW w:w="1620" w:type="dxa"/>
            <w:shd w:val="clear" w:color="auto" w:fill="4F81BD" w:themeFill="accent1"/>
            <w:vAlign w:val="center"/>
          </w:tcPr>
          <w:p w:rsidR="00A74996" w:rsidRPr="00560576" w:rsidRDefault="00A74996" w:rsidP="00752F71">
            <w:pPr>
              <w:jc w:val="center"/>
              <w:rPr>
                <w:b/>
                <w:color w:val="FFFFFF" w:themeColor="background1"/>
                <w:sz w:val="20"/>
                <w:szCs w:val="20"/>
              </w:rPr>
            </w:pPr>
            <w:r w:rsidRPr="00560576">
              <w:rPr>
                <w:b/>
                <w:color w:val="FFFFFF" w:themeColor="background1"/>
                <w:sz w:val="20"/>
                <w:szCs w:val="20"/>
              </w:rPr>
              <w:t>Ventra Vending Machine</w:t>
            </w:r>
          </w:p>
        </w:tc>
        <w:tc>
          <w:tcPr>
            <w:tcW w:w="1530" w:type="dxa"/>
            <w:shd w:val="clear" w:color="auto" w:fill="4F81BD" w:themeFill="accent1"/>
            <w:vAlign w:val="center"/>
          </w:tcPr>
          <w:p w:rsidR="00A74996" w:rsidRPr="00560576" w:rsidRDefault="00A74996" w:rsidP="00752F71">
            <w:pPr>
              <w:jc w:val="center"/>
              <w:rPr>
                <w:b/>
                <w:color w:val="FFFFFF" w:themeColor="background1"/>
                <w:sz w:val="20"/>
                <w:szCs w:val="20"/>
              </w:rPr>
            </w:pPr>
            <w:r w:rsidRPr="00560576">
              <w:rPr>
                <w:b/>
                <w:color w:val="FFFFFF" w:themeColor="background1"/>
                <w:sz w:val="20"/>
                <w:szCs w:val="20"/>
              </w:rPr>
              <w:t>Wheelchair Accessible Gate</w:t>
            </w:r>
          </w:p>
        </w:tc>
        <w:tc>
          <w:tcPr>
            <w:tcW w:w="1481" w:type="dxa"/>
            <w:shd w:val="clear" w:color="auto" w:fill="4F81BD" w:themeFill="accent1"/>
            <w:vAlign w:val="center"/>
          </w:tcPr>
          <w:p w:rsidR="00A74996" w:rsidRPr="00560576" w:rsidRDefault="00A74996" w:rsidP="00752F71">
            <w:pPr>
              <w:jc w:val="center"/>
              <w:rPr>
                <w:b/>
                <w:color w:val="FFFFFF" w:themeColor="background1"/>
                <w:sz w:val="20"/>
                <w:szCs w:val="20"/>
              </w:rPr>
            </w:pPr>
            <w:r w:rsidRPr="00560576">
              <w:rPr>
                <w:b/>
                <w:color w:val="FFFFFF" w:themeColor="background1"/>
                <w:sz w:val="20"/>
                <w:szCs w:val="20"/>
              </w:rPr>
              <w:t>Turnstile Gate</w:t>
            </w:r>
          </w:p>
        </w:tc>
        <w:tc>
          <w:tcPr>
            <w:tcW w:w="1566" w:type="dxa"/>
            <w:shd w:val="clear" w:color="auto" w:fill="4F81BD" w:themeFill="accent1"/>
          </w:tcPr>
          <w:p w:rsidR="00A74996" w:rsidRPr="00560576" w:rsidRDefault="00A74996" w:rsidP="00752F71">
            <w:pPr>
              <w:jc w:val="center"/>
              <w:rPr>
                <w:b/>
                <w:color w:val="FFFFFF" w:themeColor="background1"/>
                <w:sz w:val="20"/>
                <w:szCs w:val="20"/>
              </w:rPr>
            </w:pPr>
            <w:r>
              <w:rPr>
                <w:b/>
                <w:color w:val="FFFFFF" w:themeColor="background1"/>
                <w:sz w:val="20"/>
                <w:szCs w:val="20"/>
              </w:rPr>
              <w:t>High Barrier Gates</w:t>
            </w:r>
          </w:p>
        </w:tc>
        <w:tc>
          <w:tcPr>
            <w:tcW w:w="1566" w:type="dxa"/>
            <w:shd w:val="clear" w:color="auto" w:fill="4F81BD" w:themeFill="accent1"/>
            <w:vAlign w:val="center"/>
          </w:tcPr>
          <w:p w:rsidR="00A74996" w:rsidRPr="00560576" w:rsidRDefault="00A74996" w:rsidP="00752F71">
            <w:pPr>
              <w:jc w:val="center"/>
              <w:rPr>
                <w:b/>
                <w:color w:val="FFFFFF" w:themeColor="background1"/>
                <w:sz w:val="20"/>
                <w:szCs w:val="20"/>
              </w:rPr>
            </w:pPr>
            <w:r w:rsidRPr="00560576">
              <w:rPr>
                <w:b/>
                <w:color w:val="FFFFFF" w:themeColor="background1"/>
                <w:sz w:val="20"/>
                <w:szCs w:val="20"/>
              </w:rPr>
              <w:t>CTA Bus</w:t>
            </w:r>
          </w:p>
        </w:tc>
      </w:tr>
      <w:tr w:rsidR="00A74996" w:rsidTr="009C11DE">
        <w:tc>
          <w:tcPr>
            <w:tcW w:w="1867" w:type="dxa"/>
            <w:shd w:val="clear" w:color="auto" w:fill="FFFFFF" w:themeFill="background1"/>
            <w:vAlign w:val="center"/>
          </w:tcPr>
          <w:p w:rsidR="00A74996" w:rsidRPr="00560576" w:rsidRDefault="00A23D93" w:rsidP="00560576">
            <w:pPr>
              <w:rPr>
                <w:b/>
                <w:sz w:val="20"/>
                <w:szCs w:val="20"/>
              </w:rPr>
            </w:pPr>
            <w:r>
              <w:rPr>
                <w:b/>
                <w:sz w:val="20"/>
                <w:szCs w:val="20"/>
              </w:rPr>
              <w:t>4 Week Avg. (1/26</w:t>
            </w:r>
            <w:r w:rsidR="00A74996" w:rsidRPr="00560576">
              <w:rPr>
                <w:b/>
                <w:sz w:val="20"/>
                <w:szCs w:val="20"/>
              </w:rPr>
              <w:t>)</w:t>
            </w:r>
          </w:p>
        </w:tc>
        <w:tc>
          <w:tcPr>
            <w:tcW w:w="1620" w:type="dxa"/>
            <w:vAlign w:val="center"/>
          </w:tcPr>
          <w:p w:rsidR="00A74996" w:rsidRPr="00D736E2" w:rsidRDefault="00F93418" w:rsidP="00CF5B1B">
            <w:pPr>
              <w:jc w:val="center"/>
              <w:rPr>
                <w:sz w:val="20"/>
                <w:szCs w:val="20"/>
              </w:rPr>
            </w:pPr>
            <w:r>
              <w:rPr>
                <w:sz w:val="20"/>
                <w:szCs w:val="20"/>
              </w:rPr>
              <w:t>99.5</w:t>
            </w:r>
            <w:r w:rsidR="00A74996" w:rsidRPr="00D736E2">
              <w:rPr>
                <w:sz w:val="20"/>
                <w:szCs w:val="20"/>
              </w:rPr>
              <w:t>%</w:t>
            </w:r>
          </w:p>
        </w:tc>
        <w:tc>
          <w:tcPr>
            <w:tcW w:w="1530" w:type="dxa"/>
            <w:vAlign w:val="center"/>
          </w:tcPr>
          <w:p w:rsidR="00A74996" w:rsidRPr="00D736E2" w:rsidRDefault="00F93418" w:rsidP="00160B91">
            <w:pPr>
              <w:jc w:val="center"/>
              <w:rPr>
                <w:sz w:val="20"/>
                <w:szCs w:val="20"/>
              </w:rPr>
            </w:pPr>
            <w:r>
              <w:rPr>
                <w:sz w:val="20"/>
                <w:szCs w:val="20"/>
              </w:rPr>
              <w:t>99.8</w:t>
            </w:r>
            <w:r w:rsidR="00A74996" w:rsidRPr="00D736E2">
              <w:rPr>
                <w:sz w:val="20"/>
                <w:szCs w:val="20"/>
              </w:rPr>
              <w:t>%</w:t>
            </w:r>
          </w:p>
        </w:tc>
        <w:tc>
          <w:tcPr>
            <w:tcW w:w="1481" w:type="dxa"/>
            <w:vAlign w:val="center"/>
          </w:tcPr>
          <w:p w:rsidR="00A74996" w:rsidRPr="00D736E2" w:rsidRDefault="00AF546C" w:rsidP="00CF5B1B">
            <w:pPr>
              <w:jc w:val="center"/>
              <w:rPr>
                <w:sz w:val="20"/>
                <w:szCs w:val="20"/>
              </w:rPr>
            </w:pPr>
            <w:r>
              <w:rPr>
                <w:sz w:val="20"/>
                <w:szCs w:val="20"/>
              </w:rPr>
              <w:t>99.8</w:t>
            </w:r>
            <w:r w:rsidR="00A74996" w:rsidRPr="00D736E2">
              <w:rPr>
                <w:sz w:val="20"/>
                <w:szCs w:val="20"/>
              </w:rPr>
              <w:t>%</w:t>
            </w:r>
          </w:p>
        </w:tc>
        <w:tc>
          <w:tcPr>
            <w:tcW w:w="1566" w:type="dxa"/>
            <w:vAlign w:val="center"/>
          </w:tcPr>
          <w:p w:rsidR="00A74996" w:rsidRPr="00D736E2" w:rsidRDefault="00A74996" w:rsidP="00D736E2">
            <w:pPr>
              <w:jc w:val="center"/>
              <w:rPr>
                <w:sz w:val="20"/>
                <w:szCs w:val="20"/>
              </w:rPr>
            </w:pPr>
            <w:r w:rsidRPr="00D736E2">
              <w:rPr>
                <w:sz w:val="20"/>
                <w:szCs w:val="20"/>
              </w:rPr>
              <w:t>99.</w:t>
            </w:r>
            <w:r w:rsidR="00D736E2" w:rsidRPr="00D736E2">
              <w:rPr>
                <w:sz w:val="20"/>
                <w:szCs w:val="20"/>
              </w:rPr>
              <w:t>9</w:t>
            </w:r>
            <w:r w:rsidRPr="00D736E2">
              <w:rPr>
                <w:sz w:val="20"/>
                <w:szCs w:val="20"/>
              </w:rPr>
              <w:t>%</w:t>
            </w:r>
          </w:p>
        </w:tc>
        <w:tc>
          <w:tcPr>
            <w:tcW w:w="1566" w:type="dxa"/>
            <w:vAlign w:val="center"/>
          </w:tcPr>
          <w:p w:rsidR="00A74996" w:rsidRPr="009C11DE" w:rsidRDefault="00355FFC" w:rsidP="00CF5B1B">
            <w:pPr>
              <w:jc w:val="center"/>
              <w:rPr>
                <w:sz w:val="20"/>
                <w:szCs w:val="20"/>
                <w:highlight w:val="yellow"/>
              </w:rPr>
            </w:pPr>
            <w:r>
              <w:rPr>
                <w:sz w:val="20"/>
                <w:szCs w:val="20"/>
              </w:rPr>
              <w:t>99.6</w:t>
            </w:r>
            <w:r w:rsidR="00A74996" w:rsidRPr="00D736E2">
              <w:rPr>
                <w:sz w:val="20"/>
                <w:szCs w:val="20"/>
              </w:rPr>
              <w:t>%</w:t>
            </w:r>
          </w:p>
        </w:tc>
      </w:tr>
    </w:tbl>
    <w:p w:rsidR="0092361F" w:rsidRPr="0092361F" w:rsidRDefault="0092361F" w:rsidP="00D7518C">
      <w:pPr>
        <w:spacing w:after="0"/>
        <w:rPr>
          <w:color w:val="1F497D" w:themeColor="text2"/>
          <w:sz w:val="12"/>
          <w:szCs w:val="12"/>
        </w:rPr>
      </w:pPr>
    </w:p>
    <w:p w:rsidR="003F4A9F" w:rsidRDefault="003F4A9F" w:rsidP="00B111ED">
      <w:pPr>
        <w:spacing w:after="0" w:line="240" w:lineRule="auto"/>
        <w:rPr>
          <w:rFonts w:cstheme="minorHAnsi"/>
          <w:b/>
          <w:u w:val="single"/>
        </w:rPr>
      </w:pPr>
    </w:p>
    <w:p w:rsidR="007D01CE" w:rsidRDefault="007D01CE" w:rsidP="00B111ED">
      <w:pPr>
        <w:spacing w:after="0" w:line="240" w:lineRule="auto"/>
        <w:rPr>
          <w:rFonts w:cstheme="minorHAnsi"/>
          <w:b/>
          <w:u w:val="single"/>
        </w:rPr>
      </w:pPr>
      <w:r>
        <w:rPr>
          <w:rFonts w:cstheme="minorHAnsi"/>
          <w:b/>
          <w:u w:val="single"/>
        </w:rPr>
        <w:t>Ventra reader update</w:t>
      </w:r>
    </w:p>
    <w:p w:rsidR="007D01CE" w:rsidRPr="00553A3F" w:rsidRDefault="007D01CE" w:rsidP="00C30925">
      <w:r w:rsidRPr="00553A3F">
        <w:t>To improve the customer experience with Ventra, the CTA has directed the vendor to make</w:t>
      </w:r>
      <w:r w:rsidR="005F1217" w:rsidRPr="00553A3F">
        <w:t xml:space="preserve"> further</w:t>
      </w:r>
      <w:r w:rsidRPr="00553A3F">
        <w:t xml:space="preserve"> software upgrades to the Ventra readers on buses and at rail station turnstiles to provide more specific information to customers, in addition to further improving the overall functionality of the readers.</w:t>
      </w:r>
    </w:p>
    <w:p w:rsidR="007D01CE" w:rsidRPr="00553A3F" w:rsidRDefault="007D01CE" w:rsidP="00C30925">
      <w:r w:rsidRPr="00553A3F">
        <w:t xml:space="preserve">Specifically, customers and operators will see more </w:t>
      </w:r>
      <w:r w:rsidR="003F5A92">
        <w:t>detailed</w:t>
      </w:r>
      <w:r w:rsidRPr="00553A3F">
        <w:t xml:space="preserve"> information</w:t>
      </w:r>
      <w:r w:rsidR="005F1217" w:rsidRPr="00553A3F">
        <w:t xml:space="preserve"> via a change in language</w:t>
      </w:r>
      <w:r w:rsidRPr="00553A3F">
        <w:t xml:space="preserve"> regarding </w:t>
      </w:r>
      <w:r w:rsidR="0075724C" w:rsidRPr="00553A3F">
        <w:t>customer</w:t>
      </w:r>
      <w:r w:rsidRPr="00553A3F">
        <w:t xml:space="preserve"> transaction</w:t>
      </w:r>
      <w:r w:rsidR="003F5A92">
        <w:t>s</w:t>
      </w:r>
      <w:r w:rsidR="005F1217" w:rsidRPr="00553A3F">
        <w:t xml:space="preserve"> to provide further clarity</w:t>
      </w:r>
      <w:r w:rsidRPr="00553A3F">
        <w:t>:</w:t>
      </w:r>
    </w:p>
    <w:p w:rsidR="007D01CE" w:rsidRPr="00C30925" w:rsidRDefault="007D01CE" w:rsidP="00C30925">
      <w:pPr>
        <w:pStyle w:val="ListParagraph"/>
        <w:numPr>
          <w:ilvl w:val="0"/>
          <w:numId w:val="6"/>
        </w:numPr>
        <w:rPr>
          <w:strike/>
        </w:rPr>
      </w:pPr>
      <w:r w:rsidRPr="00553A3F">
        <w:t xml:space="preserve">“Tap Below” </w:t>
      </w:r>
      <w:r w:rsidR="005F1217" w:rsidRPr="00553A3F">
        <w:t xml:space="preserve">message on readers will be changed </w:t>
      </w:r>
      <w:r w:rsidRPr="00553A3F">
        <w:t xml:space="preserve">to “Touch Below” </w:t>
      </w:r>
    </w:p>
    <w:p w:rsidR="007D01CE" w:rsidRPr="00C30925" w:rsidRDefault="007D01CE" w:rsidP="00C30925">
      <w:pPr>
        <w:pStyle w:val="ListParagraph"/>
        <w:numPr>
          <w:ilvl w:val="0"/>
          <w:numId w:val="6"/>
        </w:numPr>
        <w:rPr>
          <w:strike/>
        </w:rPr>
      </w:pPr>
      <w:r w:rsidRPr="00553A3F">
        <w:t xml:space="preserve">“Stop Check Account”  </w:t>
      </w:r>
      <w:r w:rsidR="005F1217" w:rsidRPr="00553A3F">
        <w:t xml:space="preserve">message will change </w:t>
      </w:r>
      <w:r w:rsidRPr="00553A3F">
        <w:t xml:space="preserve">to “Stop Insufficient Fare”  </w:t>
      </w:r>
    </w:p>
    <w:p w:rsidR="007D01CE" w:rsidRPr="00C30925" w:rsidRDefault="007D01CE" w:rsidP="00C30925">
      <w:pPr>
        <w:pStyle w:val="ListParagraph"/>
        <w:numPr>
          <w:ilvl w:val="0"/>
          <w:numId w:val="6"/>
        </w:numPr>
        <w:rPr>
          <w:strike/>
        </w:rPr>
      </w:pPr>
      <w:r w:rsidRPr="00553A3F">
        <w:t xml:space="preserve">“Stop Tap Again” </w:t>
      </w:r>
      <w:r w:rsidR="005F1217" w:rsidRPr="00553A3F">
        <w:t xml:space="preserve">will change </w:t>
      </w:r>
      <w:r w:rsidRPr="00553A3F">
        <w:t>to “Please Touch Again</w:t>
      </w:r>
      <w:r w:rsidR="0075724C" w:rsidRPr="00553A3F">
        <w:t>,</w:t>
      </w:r>
      <w:r w:rsidRPr="00553A3F">
        <w:t xml:space="preserve"> Card Not Read” </w:t>
      </w:r>
    </w:p>
    <w:p w:rsidR="007D01CE" w:rsidRPr="00553A3F" w:rsidRDefault="005F1217" w:rsidP="00C30925">
      <w:pPr>
        <w:pStyle w:val="ListParagraph"/>
        <w:numPr>
          <w:ilvl w:val="0"/>
          <w:numId w:val="6"/>
        </w:numPr>
      </w:pPr>
      <w:r w:rsidRPr="00553A3F">
        <w:t xml:space="preserve">To provide more feedback to riders, the </w:t>
      </w:r>
      <w:r w:rsidR="003F5A92">
        <w:t>“Stop, Check Account”</w:t>
      </w:r>
      <w:r w:rsidR="007D01CE" w:rsidRPr="00553A3F">
        <w:t xml:space="preserve"> screens may indicate “Stop</w:t>
      </w:r>
      <w:r w:rsidR="0075724C" w:rsidRPr="00553A3F">
        <w:t>,</w:t>
      </w:r>
      <w:r w:rsidR="007D01CE" w:rsidRPr="00553A3F">
        <w:t xml:space="preserve"> Card/Ticket Expired”, “Stop</w:t>
      </w:r>
      <w:r w:rsidR="0075724C" w:rsidRPr="00553A3F">
        <w:t>,</w:t>
      </w:r>
      <w:r w:rsidR="007D01CE" w:rsidRPr="00553A3F">
        <w:t xml:space="preserve"> See Customer Service”, or “St</w:t>
      </w:r>
      <w:r w:rsidRPr="00553A3F">
        <w:t>op</w:t>
      </w:r>
      <w:r w:rsidR="0075724C" w:rsidRPr="00553A3F">
        <w:t>,</w:t>
      </w:r>
      <w:r w:rsidRPr="00553A3F">
        <w:t xml:space="preserve"> Repeated Use”</w:t>
      </w:r>
    </w:p>
    <w:p w:rsidR="005F1217" w:rsidRPr="00553A3F" w:rsidRDefault="005F1217" w:rsidP="00C30925">
      <w:pPr>
        <w:pStyle w:val="ListParagraph"/>
        <w:numPr>
          <w:ilvl w:val="0"/>
          <w:numId w:val="6"/>
        </w:numPr>
      </w:pPr>
      <w:r w:rsidRPr="00553A3F">
        <w:t>Other software improvements will speed up the time it takes for updated account information to be available to Ventra readers.</w:t>
      </w:r>
    </w:p>
    <w:p w:rsidR="007D01CE" w:rsidRPr="00553A3F" w:rsidRDefault="005F1217" w:rsidP="00C30925">
      <w:pPr>
        <w:rPr>
          <w:rFonts w:cstheme="minorHAnsi"/>
        </w:rPr>
      </w:pPr>
      <w:r w:rsidRPr="00553A3F">
        <w:rPr>
          <w:rFonts w:cstheme="minorHAnsi"/>
        </w:rPr>
        <w:t>The rollout of these new upgrades is anticipated to occur gradually over a two-week period that begins this weekend and will be closely monitored by the CTA</w:t>
      </w:r>
      <w:r w:rsidR="00C14043" w:rsidRPr="00553A3F">
        <w:rPr>
          <w:rFonts w:cstheme="minorHAnsi"/>
        </w:rPr>
        <w:t xml:space="preserve"> and Cubic and </w:t>
      </w:r>
      <w:r w:rsidRPr="00553A3F">
        <w:rPr>
          <w:rFonts w:cstheme="minorHAnsi"/>
        </w:rPr>
        <w:t>tested to make sure the readers are performing properly.</w:t>
      </w:r>
    </w:p>
    <w:p w:rsidR="005F1217" w:rsidRDefault="005F1217" w:rsidP="00B111ED">
      <w:pPr>
        <w:spacing w:after="0" w:line="240" w:lineRule="auto"/>
        <w:rPr>
          <w:rFonts w:cstheme="minorHAnsi"/>
          <w:b/>
          <w:u w:val="single"/>
        </w:rPr>
      </w:pPr>
      <w:bookmarkStart w:id="0" w:name="_GoBack"/>
      <w:bookmarkEnd w:id="0"/>
    </w:p>
    <w:p w:rsidR="007D01CE" w:rsidRDefault="007D01CE" w:rsidP="00B111ED">
      <w:pPr>
        <w:spacing w:after="0" w:line="240" w:lineRule="auto"/>
        <w:rPr>
          <w:rFonts w:cstheme="minorHAnsi"/>
          <w:b/>
          <w:u w:val="single"/>
        </w:rPr>
      </w:pPr>
    </w:p>
    <w:p w:rsidR="00195B4F" w:rsidRPr="00546B8E" w:rsidRDefault="00195B4F" w:rsidP="00B111ED">
      <w:pPr>
        <w:spacing w:after="0" w:line="240" w:lineRule="auto"/>
        <w:rPr>
          <w:rFonts w:cstheme="minorHAnsi"/>
          <w:b/>
          <w:u w:val="single"/>
        </w:rPr>
      </w:pPr>
      <w:r w:rsidRPr="00546B8E">
        <w:rPr>
          <w:rFonts w:cstheme="minorHAnsi"/>
          <w:b/>
          <w:u w:val="single"/>
        </w:rPr>
        <w:t>Card Distribution</w:t>
      </w:r>
    </w:p>
    <w:p w:rsidR="00971A0D" w:rsidRPr="00B36637" w:rsidRDefault="00971A0D" w:rsidP="00971A0D">
      <w:pPr>
        <w:pStyle w:val="Default"/>
        <w:rPr>
          <w:sz w:val="12"/>
          <w:szCs w:val="12"/>
        </w:rPr>
      </w:pPr>
    </w:p>
    <w:p w:rsidR="0043460E" w:rsidRDefault="0043460E" w:rsidP="0017756B">
      <w:pPr>
        <w:rPr>
          <w:rFonts w:ascii="Calibri" w:hAnsi="Calibri" w:cs="Calibri"/>
          <w:color w:val="000000" w:themeColor="text1"/>
        </w:rPr>
      </w:pPr>
      <w:r w:rsidRPr="00837F1B">
        <w:rPr>
          <w:rFonts w:ascii="Calibri" w:hAnsi="Calibri" w:cs="Calibri"/>
          <w:color w:val="000000" w:themeColor="text1"/>
        </w:rPr>
        <w:t xml:space="preserve">The Regional Transit Authority (RTA) </w:t>
      </w:r>
      <w:r w:rsidR="00752427" w:rsidRPr="00837F1B">
        <w:rPr>
          <w:rFonts w:ascii="Calibri" w:hAnsi="Calibri" w:cs="Calibri"/>
          <w:color w:val="000000" w:themeColor="text1"/>
        </w:rPr>
        <w:t>has completed</w:t>
      </w:r>
      <w:r w:rsidRPr="00837F1B">
        <w:rPr>
          <w:rFonts w:ascii="Calibri" w:hAnsi="Calibri" w:cs="Calibri"/>
          <w:color w:val="000000" w:themeColor="text1"/>
        </w:rPr>
        <w:t xml:space="preserve"> </w:t>
      </w:r>
      <w:r w:rsidR="00594FD2" w:rsidRPr="00837F1B">
        <w:rPr>
          <w:rFonts w:ascii="Calibri" w:hAnsi="Calibri" w:cs="Calibri"/>
          <w:color w:val="000000" w:themeColor="text1"/>
        </w:rPr>
        <w:t xml:space="preserve">its mailing of </w:t>
      </w:r>
      <w:r w:rsidR="00594FD2" w:rsidRPr="00D736E2">
        <w:rPr>
          <w:rFonts w:ascii="Calibri" w:hAnsi="Calibri" w:cs="Calibri"/>
          <w:color w:val="000000" w:themeColor="text1"/>
        </w:rPr>
        <w:t>approximately 545</w:t>
      </w:r>
      <w:r w:rsidRPr="00D736E2">
        <w:rPr>
          <w:rFonts w:ascii="Calibri" w:hAnsi="Calibri" w:cs="Calibri"/>
          <w:color w:val="000000" w:themeColor="text1"/>
        </w:rPr>
        <w:t xml:space="preserve">,000 free and reduced fare cards to seniors and people with disabilities. As of </w:t>
      </w:r>
      <w:r w:rsidR="00C47CCE" w:rsidRPr="00D736E2">
        <w:rPr>
          <w:rFonts w:ascii="Calibri" w:hAnsi="Calibri" w:cs="Calibri"/>
          <w:color w:val="000000" w:themeColor="text1"/>
        </w:rPr>
        <w:t xml:space="preserve">January </w:t>
      </w:r>
      <w:r w:rsidR="0066554D">
        <w:rPr>
          <w:rFonts w:ascii="Calibri" w:hAnsi="Calibri" w:cs="Calibri"/>
          <w:color w:val="000000" w:themeColor="text1"/>
        </w:rPr>
        <w:t>2</w:t>
      </w:r>
      <w:r w:rsidR="00C90114">
        <w:rPr>
          <w:rFonts w:ascii="Calibri" w:hAnsi="Calibri" w:cs="Calibri"/>
          <w:color w:val="000000" w:themeColor="text1"/>
        </w:rPr>
        <w:t>8</w:t>
      </w:r>
      <w:r w:rsidRPr="00D736E2">
        <w:rPr>
          <w:rFonts w:ascii="Calibri" w:hAnsi="Calibri" w:cs="Calibri"/>
          <w:color w:val="000000" w:themeColor="text1"/>
        </w:rPr>
        <w:t xml:space="preserve">, </w:t>
      </w:r>
      <w:r w:rsidR="00987AB2" w:rsidRPr="009E11A6">
        <w:rPr>
          <w:rFonts w:ascii="Calibri" w:hAnsi="Calibri" w:cs="Calibri"/>
          <w:color w:val="000000" w:themeColor="text1"/>
        </w:rPr>
        <w:t>52</w:t>
      </w:r>
      <w:r w:rsidR="004E333B">
        <w:rPr>
          <w:rFonts w:ascii="Calibri" w:hAnsi="Calibri" w:cs="Calibri"/>
          <w:color w:val="000000" w:themeColor="text1"/>
        </w:rPr>
        <w:t>.</w:t>
      </w:r>
      <w:r w:rsidR="00C90114">
        <w:rPr>
          <w:rFonts w:ascii="Calibri" w:hAnsi="Calibri" w:cs="Calibri"/>
          <w:color w:val="000000" w:themeColor="text1"/>
        </w:rPr>
        <w:t>9</w:t>
      </w:r>
      <w:r w:rsidR="00CF5B1B" w:rsidRPr="009E11A6">
        <w:rPr>
          <w:rFonts w:ascii="Calibri" w:hAnsi="Calibri" w:cs="Calibri"/>
          <w:color w:val="000000" w:themeColor="text1"/>
        </w:rPr>
        <w:t xml:space="preserve"> </w:t>
      </w:r>
      <w:r w:rsidRPr="009E11A6">
        <w:rPr>
          <w:rFonts w:ascii="Calibri" w:hAnsi="Calibri" w:cs="Calibri"/>
          <w:color w:val="000000" w:themeColor="text1"/>
        </w:rPr>
        <w:t>percent</w:t>
      </w:r>
      <w:r w:rsidRPr="00D736E2">
        <w:rPr>
          <w:rFonts w:ascii="Calibri" w:hAnsi="Calibri" w:cs="Calibri"/>
          <w:color w:val="000000" w:themeColor="text1"/>
        </w:rPr>
        <w:t xml:space="preserve"> </w:t>
      </w:r>
      <w:r w:rsidR="00EC63DC" w:rsidRPr="00D736E2">
        <w:rPr>
          <w:rFonts w:ascii="Calibri" w:hAnsi="Calibri" w:cs="Calibri"/>
          <w:color w:val="000000" w:themeColor="text1"/>
        </w:rPr>
        <w:t>of RTA cards were</w:t>
      </w:r>
      <w:r w:rsidRPr="00D736E2">
        <w:rPr>
          <w:rFonts w:ascii="Calibri" w:hAnsi="Calibri" w:cs="Calibri"/>
          <w:color w:val="000000" w:themeColor="text1"/>
        </w:rPr>
        <w:t xml:space="preserve"> active.</w:t>
      </w:r>
    </w:p>
    <w:p w:rsidR="003F5A92" w:rsidRPr="00966133" w:rsidRDefault="003F5A92" w:rsidP="003F5A92">
      <w:pPr>
        <w:jc w:val="center"/>
        <w:rPr>
          <w:rFonts w:ascii="Calibri" w:hAnsi="Calibri" w:cs="Calibri"/>
          <w:color w:val="000000" w:themeColor="text1"/>
        </w:rPr>
      </w:pPr>
      <w:r>
        <w:rPr>
          <w:rFonts w:ascii="Calibri" w:hAnsi="Calibri" w:cs="Calibri"/>
          <w:color w:val="000000" w:themeColor="text1"/>
        </w:rPr>
        <w:t>###</w:t>
      </w:r>
    </w:p>
    <w:sectPr w:rsidR="003F5A92" w:rsidRPr="00966133" w:rsidSect="00033E4E">
      <w:footerReference w:type="default" r:id="rId24"/>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566" w:rsidRDefault="00D94566" w:rsidP="002B496C">
      <w:pPr>
        <w:spacing w:after="0" w:line="240" w:lineRule="auto"/>
      </w:pPr>
      <w:r>
        <w:separator/>
      </w:r>
    </w:p>
  </w:endnote>
  <w:endnote w:type="continuationSeparator" w:id="0">
    <w:p w:rsidR="00D94566" w:rsidRDefault="00D94566" w:rsidP="002B4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301419"/>
      <w:docPartObj>
        <w:docPartGallery w:val="Page Numbers (Bottom of Page)"/>
        <w:docPartUnique/>
      </w:docPartObj>
    </w:sdtPr>
    <w:sdtEndPr>
      <w:rPr>
        <w:noProof/>
      </w:rPr>
    </w:sdtEndPr>
    <w:sdtContent>
      <w:p w:rsidR="00D94566" w:rsidRDefault="00D94566">
        <w:pPr>
          <w:pStyle w:val="Footer"/>
          <w:jc w:val="center"/>
        </w:pPr>
        <w:r>
          <w:fldChar w:fldCharType="begin"/>
        </w:r>
        <w:r>
          <w:instrText xml:space="preserve"> PAGE   \* MERGEFORMAT </w:instrText>
        </w:r>
        <w:r>
          <w:fldChar w:fldCharType="separate"/>
        </w:r>
        <w:r w:rsidR="000C5570">
          <w:rPr>
            <w:noProof/>
          </w:rPr>
          <w:t>8</w:t>
        </w:r>
        <w:r>
          <w:rPr>
            <w:noProof/>
          </w:rPr>
          <w:fldChar w:fldCharType="end"/>
        </w:r>
      </w:p>
    </w:sdtContent>
  </w:sdt>
  <w:p w:rsidR="00D94566" w:rsidRPr="0077680A" w:rsidRDefault="00D94566" w:rsidP="0077680A">
    <w:pPr>
      <w:spacing w:after="0" w:line="240" w:lineRule="auto"/>
      <w:jc w:val="center"/>
      <w:rPr>
        <w:b/>
        <w:i/>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566" w:rsidRDefault="00D94566" w:rsidP="002B496C">
      <w:pPr>
        <w:spacing w:after="0" w:line="240" w:lineRule="auto"/>
      </w:pPr>
      <w:r>
        <w:separator/>
      </w:r>
    </w:p>
  </w:footnote>
  <w:footnote w:type="continuationSeparator" w:id="0">
    <w:p w:rsidR="00D94566" w:rsidRDefault="00D94566" w:rsidP="002B49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307"/>
    <w:multiLevelType w:val="hybridMultilevel"/>
    <w:tmpl w:val="4D94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1412D"/>
    <w:multiLevelType w:val="hybridMultilevel"/>
    <w:tmpl w:val="1D24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F3FAF"/>
    <w:multiLevelType w:val="hybridMultilevel"/>
    <w:tmpl w:val="A5621B00"/>
    <w:lvl w:ilvl="0" w:tplc="CF3E1750">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531E5"/>
    <w:multiLevelType w:val="hybridMultilevel"/>
    <w:tmpl w:val="B70E064E"/>
    <w:lvl w:ilvl="0" w:tplc="04090001">
      <w:start w:val="1"/>
      <w:numFmt w:val="bullet"/>
      <w:lvlText w:val=""/>
      <w:lvlJc w:val="left"/>
      <w:pPr>
        <w:ind w:left="720" w:hanging="360"/>
      </w:pPr>
      <w:rPr>
        <w:rFonts w:ascii="Symbol" w:hAnsi="Symbol" w:hint="default"/>
      </w:rPr>
    </w:lvl>
    <w:lvl w:ilvl="1" w:tplc="359AB7C0">
      <w:start w:val="1"/>
      <w:numFmt w:val="bullet"/>
      <w:lvlText w:val="o"/>
      <w:lvlJc w:val="left"/>
      <w:pPr>
        <w:ind w:left="1440" w:hanging="360"/>
      </w:pPr>
      <w:rPr>
        <w:rFonts w:ascii="Courier New" w:hAnsi="Courier New" w:cs="Courier New" w:hint="default"/>
        <w:strike w:val="0"/>
        <w:dstrike w:val="0"/>
        <w:u w:val="none"/>
        <w:effect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F1C3686"/>
    <w:multiLevelType w:val="hybridMultilevel"/>
    <w:tmpl w:val="FC16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F12E2C"/>
    <w:multiLevelType w:val="hybridMultilevel"/>
    <w:tmpl w:val="0BC6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CA"/>
    <w:rsid w:val="00007E01"/>
    <w:rsid w:val="00010161"/>
    <w:rsid w:val="00013D8E"/>
    <w:rsid w:val="0001621B"/>
    <w:rsid w:val="00016C8A"/>
    <w:rsid w:val="00017A54"/>
    <w:rsid w:val="00022367"/>
    <w:rsid w:val="00022435"/>
    <w:rsid w:val="000258F8"/>
    <w:rsid w:val="00032980"/>
    <w:rsid w:val="00033E4E"/>
    <w:rsid w:val="0003427C"/>
    <w:rsid w:val="0004320C"/>
    <w:rsid w:val="000563AA"/>
    <w:rsid w:val="00065A67"/>
    <w:rsid w:val="000670BF"/>
    <w:rsid w:val="00070413"/>
    <w:rsid w:val="000720C9"/>
    <w:rsid w:val="00076463"/>
    <w:rsid w:val="00083DC3"/>
    <w:rsid w:val="00086F12"/>
    <w:rsid w:val="00091F11"/>
    <w:rsid w:val="00093C3B"/>
    <w:rsid w:val="00094D27"/>
    <w:rsid w:val="000958A8"/>
    <w:rsid w:val="000A6968"/>
    <w:rsid w:val="000A715C"/>
    <w:rsid w:val="000B5812"/>
    <w:rsid w:val="000B6957"/>
    <w:rsid w:val="000C5570"/>
    <w:rsid w:val="000C6367"/>
    <w:rsid w:val="000C7A1C"/>
    <w:rsid w:val="000D0DCD"/>
    <w:rsid w:val="000D35DA"/>
    <w:rsid w:val="000D6176"/>
    <w:rsid w:val="000D71CA"/>
    <w:rsid w:val="000E4E5D"/>
    <w:rsid w:val="000E5E98"/>
    <w:rsid w:val="000E792A"/>
    <w:rsid w:val="000E7EE9"/>
    <w:rsid w:val="000F7340"/>
    <w:rsid w:val="000F7408"/>
    <w:rsid w:val="00102D86"/>
    <w:rsid w:val="00104584"/>
    <w:rsid w:val="001045C1"/>
    <w:rsid w:val="00106959"/>
    <w:rsid w:val="00113A08"/>
    <w:rsid w:val="00115ED3"/>
    <w:rsid w:val="001245D2"/>
    <w:rsid w:val="00125387"/>
    <w:rsid w:val="00125785"/>
    <w:rsid w:val="0013097E"/>
    <w:rsid w:val="001315A5"/>
    <w:rsid w:val="00136035"/>
    <w:rsid w:val="001405EF"/>
    <w:rsid w:val="0015091C"/>
    <w:rsid w:val="00150F2B"/>
    <w:rsid w:val="0015151E"/>
    <w:rsid w:val="00160B91"/>
    <w:rsid w:val="00161A03"/>
    <w:rsid w:val="001641DD"/>
    <w:rsid w:val="001645D3"/>
    <w:rsid w:val="00166197"/>
    <w:rsid w:val="00166909"/>
    <w:rsid w:val="0017756B"/>
    <w:rsid w:val="00177665"/>
    <w:rsid w:val="001811EC"/>
    <w:rsid w:val="00182640"/>
    <w:rsid w:val="0018343C"/>
    <w:rsid w:val="00193138"/>
    <w:rsid w:val="0019591E"/>
    <w:rsid w:val="00195B4F"/>
    <w:rsid w:val="001A0036"/>
    <w:rsid w:val="001B001B"/>
    <w:rsid w:val="001C0358"/>
    <w:rsid w:val="001C26CE"/>
    <w:rsid w:val="001C4B44"/>
    <w:rsid w:val="001D3130"/>
    <w:rsid w:val="001D32F8"/>
    <w:rsid w:val="001D4563"/>
    <w:rsid w:val="001D625D"/>
    <w:rsid w:val="001E066D"/>
    <w:rsid w:val="001E107B"/>
    <w:rsid w:val="001E2B47"/>
    <w:rsid w:val="001E3B75"/>
    <w:rsid w:val="001E5E4E"/>
    <w:rsid w:val="001F3AA1"/>
    <w:rsid w:val="001F4215"/>
    <w:rsid w:val="001F656E"/>
    <w:rsid w:val="002000C5"/>
    <w:rsid w:val="00206F3D"/>
    <w:rsid w:val="00210C6E"/>
    <w:rsid w:val="002110D8"/>
    <w:rsid w:val="00214411"/>
    <w:rsid w:val="0022502B"/>
    <w:rsid w:val="002317C7"/>
    <w:rsid w:val="00234DCF"/>
    <w:rsid w:val="002371B0"/>
    <w:rsid w:val="00242FD9"/>
    <w:rsid w:val="00246694"/>
    <w:rsid w:val="00252FFB"/>
    <w:rsid w:val="00256260"/>
    <w:rsid w:val="002644FC"/>
    <w:rsid w:val="00265BF0"/>
    <w:rsid w:val="00265C1F"/>
    <w:rsid w:val="00266562"/>
    <w:rsid w:val="0027016F"/>
    <w:rsid w:val="00271C16"/>
    <w:rsid w:val="00272617"/>
    <w:rsid w:val="00276E2E"/>
    <w:rsid w:val="00287AE0"/>
    <w:rsid w:val="0029277C"/>
    <w:rsid w:val="00296BD5"/>
    <w:rsid w:val="002B107A"/>
    <w:rsid w:val="002B3669"/>
    <w:rsid w:val="002B496C"/>
    <w:rsid w:val="002C1F38"/>
    <w:rsid w:val="002C2384"/>
    <w:rsid w:val="002D4C31"/>
    <w:rsid w:val="002E1D7D"/>
    <w:rsid w:val="002E598E"/>
    <w:rsid w:val="002E6515"/>
    <w:rsid w:val="002F04F8"/>
    <w:rsid w:val="002F1592"/>
    <w:rsid w:val="002F234B"/>
    <w:rsid w:val="002F62A0"/>
    <w:rsid w:val="003045AA"/>
    <w:rsid w:val="00311DE8"/>
    <w:rsid w:val="0031437F"/>
    <w:rsid w:val="003149EE"/>
    <w:rsid w:val="00316FA2"/>
    <w:rsid w:val="00317238"/>
    <w:rsid w:val="00327131"/>
    <w:rsid w:val="00337F38"/>
    <w:rsid w:val="00340C1F"/>
    <w:rsid w:val="003444DC"/>
    <w:rsid w:val="00345FA1"/>
    <w:rsid w:val="00346A05"/>
    <w:rsid w:val="00353C67"/>
    <w:rsid w:val="00353DB3"/>
    <w:rsid w:val="00355FFC"/>
    <w:rsid w:val="003642DF"/>
    <w:rsid w:val="00375625"/>
    <w:rsid w:val="00381143"/>
    <w:rsid w:val="00382A7E"/>
    <w:rsid w:val="003849E7"/>
    <w:rsid w:val="0039192F"/>
    <w:rsid w:val="003940A0"/>
    <w:rsid w:val="00397546"/>
    <w:rsid w:val="003A590C"/>
    <w:rsid w:val="003A61DD"/>
    <w:rsid w:val="003B2252"/>
    <w:rsid w:val="003B5556"/>
    <w:rsid w:val="003C3C6A"/>
    <w:rsid w:val="003C5914"/>
    <w:rsid w:val="003D210D"/>
    <w:rsid w:val="003D222F"/>
    <w:rsid w:val="003D548F"/>
    <w:rsid w:val="003D6CB7"/>
    <w:rsid w:val="003E76D9"/>
    <w:rsid w:val="003E770B"/>
    <w:rsid w:val="003F022E"/>
    <w:rsid w:val="003F15BA"/>
    <w:rsid w:val="003F2951"/>
    <w:rsid w:val="003F4A9F"/>
    <w:rsid w:val="003F5A92"/>
    <w:rsid w:val="003F5EE6"/>
    <w:rsid w:val="003F6C7D"/>
    <w:rsid w:val="003F7D48"/>
    <w:rsid w:val="00412F9E"/>
    <w:rsid w:val="00413FB4"/>
    <w:rsid w:val="00415B7A"/>
    <w:rsid w:val="004169F9"/>
    <w:rsid w:val="00417440"/>
    <w:rsid w:val="0041780A"/>
    <w:rsid w:val="00421051"/>
    <w:rsid w:val="004269FA"/>
    <w:rsid w:val="00426F02"/>
    <w:rsid w:val="00430804"/>
    <w:rsid w:val="00434145"/>
    <w:rsid w:val="004343F9"/>
    <w:rsid w:val="0043460E"/>
    <w:rsid w:val="0043489A"/>
    <w:rsid w:val="00434E27"/>
    <w:rsid w:val="00446CB5"/>
    <w:rsid w:val="00451B44"/>
    <w:rsid w:val="0045252D"/>
    <w:rsid w:val="00474632"/>
    <w:rsid w:val="0048670E"/>
    <w:rsid w:val="00486E52"/>
    <w:rsid w:val="004902B6"/>
    <w:rsid w:val="004908D4"/>
    <w:rsid w:val="004911C0"/>
    <w:rsid w:val="00491AC0"/>
    <w:rsid w:val="0049204A"/>
    <w:rsid w:val="0049351A"/>
    <w:rsid w:val="00496A70"/>
    <w:rsid w:val="004A160A"/>
    <w:rsid w:val="004A2B4C"/>
    <w:rsid w:val="004A51E5"/>
    <w:rsid w:val="004A75B6"/>
    <w:rsid w:val="004B0BC5"/>
    <w:rsid w:val="004B78C2"/>
    <w:rsid w:val="004B7E79"/>
    <w:rsid w:val="004C009F"/>
    <w:rsid w:val="004C58A8"/>
    <w:rsid w:val="004D47C7"/>
    <w:rsid w:val="004D7317"/>
    <w:rsid w:val="004E333B"/>
    <w:rsid w:val="004E50FB"/>
    <w:rsid w:val="004E5EC6"/>
    <w:rsid w:val="004E7AA7"/>
    <w:rsid w:val="004F0238"/>
    <w:rsid w:val="004F2F79"/>
    <w:rsid w:val="00502C76"/>
    <w:rsid w:val="005043AD"/>
    <w:rsid w:val="005043FF"/>
    <w:rsid w:val="00506F73"/>
    <w:rsid w:val="00510485"/>
    <w:rsid w:val="005107E1"/>
    <w:rsid w:val="00512F77"/>
    <w:rsid w:val="00513F5E"/>
    <w:rsid w:val="00513F9C"/>
    <w:rsid w:val="00515BCD"/>
    <w:rsid w:val="0051787A"/>
    <w:rsid w:val="0053270C"/>
    <w:rsid w:val="00535F85"/>
    <w:rsid w:val="00540837"/>
    <w:rsid w:val="00546B8E"/>
    <w:rsid w:val="005537E2"/>
    <w:rsid w:val="00553A3F"/>
    <w:rsid w:val="00560576"/>
    <w:rsid w:val="00561162"/>
    <w:rsid w:val="00561318"/>
    <w:rsid w:val="005826EB"/>
    <w:rsid w:val="00584199"/>
    <w:rsid w:val="005931A5"/>
    <w:rsid w:val="00594FD2"/>
    <w:rsid w:val="005955F4"/>
    <w:rsid w:val="005A0D38"/>
    <w:rsid w:val="005A418A"/>
    <w:rsid w:val="005A56DE"/>
    <w:rsid w:val="005A5861"/>
    <w:rsid w:val="005B3677"/>
    <w:rsid w:val="005B699B"/>
    <w:rsid w:val="005C1C94"/>
    <w:rsid w:val="005C5EBE"/>
    <w:rsid w:val="005D21F5"/>
    <w:rsid w:val="005E3E40"/>
    <w:rsid w:val="005F1217"/>
    <w:rsid w:val="005F284A"/>
    <w:rsid w:val="00602A66"/>
    <w:rsid w:val="006035D1"/>
    <w:rsid w:val="006039FC"/>
    <w:rsid w:val="006118BE"/>
    <w:rsid w:val="00616492"/>
    <w:rsid w:val="0062487C"/>
    <w:rsid w:val="006268C3"/>
    <w:rsid w:val="00627231"/>
    <w:rsid w:val="00631223"/>
    <w:rsid w:val="00633DB8"/>
    <w:rsid w:val="00636845"/>
    <w:rsid w:val="0064142C"/>
    <w:rsid w:val="006508BA"/>
    <w:rsid w:val="00656242"/>
    <w:rsid w:val="00657739"/>
    <w:rsid w:val="0066554D"/>
    <w:rsid w:val="00672AE2"/>
    <w:rsid w:val="006745F4"/>
    <w:rsid w:val="00676E2D"/>
    <w:rsid w:val="00685CEC"/>
    <w:rsid w:val="00686030"/>
    <w:rsid w:val="00686E54"/>
    <w:rsid w:val="006913C5"/>
    <w:rsid w:val="006922B1"/>
    <w:rsid w:val="00694161"/>
    <w:rsid w:val="006950B0"/>
    <w:rsid w:val="006A0040"/>
    <w:rsid w:val="006A1AF0"/>
    <w:rsid w:val="006A3FDE"/>
    <w:rsid w:val="006A575D"/>
    <w:rsid w:val="006A640B"/>
    <w:rsid w:val="006A7646"/>
    <w:rsid w:val="006B6E94"/>
    <w:rsid w:val="006C340F"/>
    <w:rsid w:val="006C705E"/>
    <w:rsid w:val="006D2721"/>
    <w:rsid w:val="006D4CAB"/>
    <w:rsid w:val="006D7AFF"/>
    <w:rsid w:val="006E16F8"/>
    <w:rsid w:val="006E404D"/>
    <w:rsid w:val="006E6D0F"/>
    <w:rsid w:val="006F09CA"/>
    <w:rsid w:val="006F0C05"/>
    <w:rsid w:val="006F1056"/>
    <w:rsid w:val="006F7AF9"/>
    <w:rsid w:val="006F7DAF"/>
    <w:rsid w:val="007001DB"/>
    <w:rsid w:val="0072105C"/>
    <w:rsid w:val="00730EE4"/>
    <w:rsid w:val="00734F93"/>
    <w:rsid w:val="00736D0F"/>
    <w:rsid w:val="007419CB"/>
    <w:rsid w:val="00742A12"/>
    <w:rsid w:val="007449BB"/>
    <w:rsid w:val="00744A60"/>
    <w:rsid w:val="00750B09"/>
    <w:rsid w:val="00752427"/>
    <w:rsid w:val="00752A4D"/>
    <w:rsid w:val="00752F71"/>
    <w:rsid w:val="00753FD0"/>
    <w:rsid w:val="0075724C"/>
    <w:rsid w:val="00762BE1"/>
    <w:rsid w:val="00764415"/>
    <w:rsid w:val="007674DB"/>
    <w:rsid w:val="00767D63"/>
    <w:rsid w:val="00767DBD"/>
    <w:rsid w:val="00770BD0"/>
    <w:rsid w:val="007728E3"/>
    <w:rsid w:val="00775CD4"/>
    <w:rsid w:val="0077680A"/>
    <w:rsid w:val="00777DE5"/>
    <w:rsid w:val="00781317"/>
    <w:rsid w:val="00782BE2"/>
    <w:rsid w:val="0078617A"/>
    <w:rsid w:val="00787DCD"/>
    <w:rsid w:val="00790F02"/>
    <w:rsid w:val="00792DBC"/>
    <w:rsid w:val="00796E90"/>
    <w:rsid w:val="007A1CA6"/>
    <w:rsid w:val="007A6248"/>
    <w:rsid w:val="007B23EB"/>
    <w:rsid w:val="007B3E8E"/>
    <w:rsid w:val="007C4B18"/>
    <w:rsid w:val="007C56A1"/>
    <w:rsid w:val="007D01CE"/>
    <w:rsid w:val="007D039B"/>
    <w:rsid w:val="007D20B0"/>
    <w:rsid w:val="007D5AD0"/>
    <w:rsid w:val="007D71B6"/>
    <w:rsid w:val="007E3448"/>
    <w:rsid w:val="007E455D"/>
    <w:rsid w:val="007E7370"/>
    <w:rsid w:val="007F4ECA"/>
    <w:rsid w:val="007F54E1"/>
    <w:rsid w:val="007F7920"/>
    <w:rsid w:val="00802D81"/>
    <w:rsid w:val="00805D5D"/>
    <w:rsid w:val="00806C9D"/>
    <w:rsid w:val="0081230D"/>
    <w:rsid w:val="00827C06"/>
    <w:rsid w:val="008310D3"/>
    <w:rsid w:val="00831C6B"/>
    <w:rsid w:val="00837BAF"/>
    <w:rsid w:val="00837D34"/>
    <w:rsid w:val="00837F1B"/>
    <w:rsid w:val="008441A2"/>
    <w:rsid w:val="00847E3F"/>
    <w:rsid w:val="00852974"/>
    <w:rsid w:val="008601EE"/>
    <w:rsid w:val="0086198F"/>
    <w:rsid w:val="00862655"/>
    <w:rsid w:val="0087066B"/>
    <w:rsid w:val="00873373"/>
    <w:rsid w:val="0087362B"/>
    <w:rsid w:val="00874408"/>
    <w:rsid w:val="00877C4B"/>
    <w:rsid w:val="008823D9"/>
    <w:rsid w:val="00882435"/>
    <w:rsid w:val="00884B02"/>
    <w:rsid w:val="00885CAE"/>
    <w:rsid w:val="00885E46"/>
    <w:rsid w:val="008864D4"/>
    <w:rsid w:val="00892C8D"/>
    <w:rsid w:val="00895A54"/>
    <w:rsid w:val="008A0370"/>
    <w:rsid w:val="008A2447"/>
    <w:rsid w:val="008B1AA6"/>
    <w:rsid w:val="008B26FF"/>
    <w:rsid w:val="008C60EE"/>
    <w:rsid w:val="008C7084"/>
    <w:rsid w:val="008D16C7"/>
    <w:rsid w:val="008D1807"/>
    <w:rsid w:val="008D18EC"/>
    <w:rsid w:val="008D3A49"/>
    <w:rsid w:val="008D51C3"/>
    <w:rsid w:val="008D735E"/>
    <w:rsid w:val="008E39C1"/>
    <w:rsid w:val="008E405B"/>
    <w:rsid w:val="008F1AA1"/>
    <w:rsid w:val="008F7417"/>
    <w:rsid w:val="00903833"/>
    <w:rsid w:val="00905019"/>
    <w:rsid w:val="0090588C"/>
    <w:rsid w:val="009068D0"/>
    <w:rsid w:val="00914A87"/>
    <w:rsid w:val="0092361F"/>
    <w:rsid w:val="00933B59"/>
    <w:rsid w:val="00935DB6"/>
    <w:rsid w:val="00936FB1"/>
    <w:rsid w:val="00940224"/>
    <w:rsid w:val="009428F6"/>
    <w:rsid w:val="00953720"/>
    <w:rsid w:val="009560A0"/>
    <w:rsid w:val="0096346D"/>
    <w:rsid w:val="00966133"/>
    <w:rsid w:val="009716FF"/>
    <w:rsid w:val="00971A0D"/>
    <w:rsid w:val="00971FA1"/>
    <w:rsid w:val="00976BCA"/>
    <w:rsid w:val="009772DB"/>
    <w:rsid w:val="00977CE4"/>
    <w:rsid w:val="009840D9"/>
    <w:rsid w:val="009863D1"/>
    <w:rsid w:val="00987AB2"/>
    <w:rsid w:val="00990434"/>
    <w:rsid w:val="009910B8"/>
    <w:rsid w:val="00991F1C"/>
    <w:rsid w:val="009935E8"/>
    <w:rsid w:val="009978D0"/>
    <w:rsid w:val="009A69F9"/>
    <w:rsid w:val="009B02C4"/>
    <w:rsid w:val="009B100D"/>
    <w:rsid w:val="009C11DE"/>
    <w:rsid w:val="009C2794"/>
    <w:rsid w:val="009C787E"/>
    <w:rsid w:val="009D0BB3"/>
    <w:rsid w:val="009D2184"/>
    <w:rsid w:val="009E11A6"/>
    <w:rsid w:val="009E1524"/>
    <w:rsid w:val="009E2D01"/>
    <w:rsid w:val="009E4B88"/>
    <w:rsid w:val="009E6916"/>
    <w:rsid w:val="009F1489"/>
    <w:rsid w:val="00A03320"/>
    <w:rsid w:val="00A10336"/>
    <w:rsid w:val="00A10365"/>
    <w:rsid w:val="00A1581F"/>
    <w:rsid w:val="00A16A9C"/>
    <w:rsid w:val="00A21BBF"/>
    <w:rsid w:val="00A23D93"/>
    <w:rsid w:val="00A25E61"/>
    <w:rsid w:val="00A27AB1"/>
    <w:rsid w:val="00A30A1D"/>
    <w:rsid w:val="00A42016"/>
    <w:rsid w:val="00A53BFA"/>
    <w:rsid w:val="00A5650D"/>
    <w:rsid w:val="00A56969"/>
    <w:rsid w:val="00A647AB"/>
    <w:rsid w:val="00A703E0"/>
    <w:rsid w:val="00A72736"/>
    <w:rsid w:val="00A741F1"/>
    <w:rsid w:val="00A74996"/>
    <w:rsid w:val="00A83FD5"/>
    <w:rsid w:val="00A96DCE"/>
    <w:rsid w:val="00AA0D98"/>
    <w:rsid w:val="00AA3E3E"/>
    <w:rsid w:val="00AA48DE"/>
    <w:rsid w:val="00AA66AA"/>
    <w:rsid w:val="00AB7E18"/>
    <w:rsid w:val="00AD1BAF"/>
    <w:rsid w:val="00AD495D"/>
    <w:rsid w:val="00AD7B07"/>
    <w:rsid w:val="00AE0D0A"/>
    <w:rsid w:val="00AE337B"/>
    <w:rsid w:val="00AE4915"/>
    <w:rsid w:val="00AF0BF9"/>
    <w:rsid w:val="00AF3842"/>
    <w:rsid w:val="00AF546C"/>
    <w:rsid w:val="00AF5B42"/>
    <w:rsid w:val="00AF7511"/>
    <w:rsid w:val="00AF7A75"/>
    <w:rsid w:val="00B01AF4"/>
    <w:rsid w:val="00B02E1B"/>
    <w:rsid w:val="00B04782"/>
    <w:rsid w:val="00B052D2"/>
    <w:rsid w:val="00B07D3B"/>
    <w:rsid w:val="00B111ED"/>
    <w:rsid w:val="00B13EA5"/>
    <w:rsid w:val="00B140AF"/>
    <w:rsid w:val="00B17A74"/>
    <w:rsid w:val="00B200C3"/>
    <w:rsid w:val="00B23ACD"/>
    <w:rsid w:val="00B32793"/>
    <w:rsid w:val="00B36637"/>
    <w:rsid w:val="00B42D6B"/>
    <w:rsid w:val="00B46EDF"/>
    <w:rsid w:val="00B51A53"/>
    <w:rsid w:val="00B51C6A"/>
    <w:rsid w:val="00B54675"/>
    <w:rsid w:val="00B705BE"/>
    <w:rsid w:val="00B74DD8"/>
    <w:rsid w:val="00B75A69"/>
    <w:rsid w:val="00B77997"/>
    <w:rsid w:val="00B81884"/>
    <w:rsid w:val="00B83BDC"/>
    <w:rsid w:val="00B931E1"/>
    <w:rsid w:val="00BA425F"/>
    <w:rsid w:val="00BA43B3"/>
    <w:rsid w:val="00BA6097"/>
    <w:rsid w:val="00BB038A"/>
    <w:rsid w:val="00BB2916"/>
    <w:rsid w:val="00BD447E"/>
    <w:rsid w:val="00BD7F4E"/>
    <w:rsid w:val="00BE2F98"/>
    <w:rsid w:val="00BF2761"/>
    <w:rsid w:val="00BF7B5C"/>
    <w:rsid w:val="00C01548"/>
    <w:rsid w:val="00C03A4D"/>
    <w:rsid w:val="00C041FB"/>
    <w:rsid w:val="00C04FE3"/>
    <w:rsid w:val="00C11578"/>
    <w:rsid w:val="00C14043"/>
    <w:rsid w:val="00C155D2"/>
    <w:rsid w:val="00C23135"/>
    <w:rsid w:val="00C24AD9"/>
    <w:rsid w:val="00C26439"/>
    <w:rsid w:val="00C27A1A"/>
    <w:rsid w:val="00C30925"/>
    <w:rsid w:val="00C3125F"/>
    <w:rsid w:val="00C3480B"/>
    <w:rsid w:val="00C45FC3"/>
    <w:rsid w:val="00C47CCE"/>
    <w:rsid w:val="00C51F54"/>
    <w:rsid w:val="00C5233C"/>
    <w:rsid w:val="00C5456E"/>
    <w:rsid w:val="00C560DE"/>
    <w:rsid w:val="00C615FB"/>
    <w:rsid w:val="00C62A01"/>
    <w:rsid w:val="00C63E3C"/>
    <w:rsid w:val="00C64E41"/>
    <w:rsid w:val="00C64EDC"/>
    <w:rsid w:val="00C65499"/>
    <w:rsid w:val="00C65AEC"/>
    <w:rsid w:val="00C67137"/>
    <w:rsid w:val="00C6760E"/>
    <w:rsid w:val="00C72234"/>
    <w:rsid w:val="00C73A17"/>
    <w:rsid w:val="00C756CD"/>
    <w:rsid w:val="00C77186"/>
    <w:rsid w:val="00C77D49"/>
    <w:rsid w:val="00C805CA"/>
    <w:rsid w:val="00C837AF"/>
    <w:rsid w:val="00C83B7F"/>
    <w:rsid w:val="00C90114"/>
    <w:rsid w:val="00C92CC3"/>
    <w:rsid w:val="00C93D9E"/>
    <w:rsid w:val="00CA046F"/>
    <w:rsid w:val="00CA3ECC"/>
    <w:rsid w:val="00CA6218"/>
    <w:rsid w:val="00CB055A"/>
    <w:rsid w:val="00CB6595"/>
    <w:rsid w:val="00CE0989"/>
    <w:rsid w:val="00CE0EAE"/>
    <w:rsid w:val="00CE21A9"/>
    <w:rsid w:val="00CE3636"/>
    <w:rsid w:val="00CE57B4"/>
    <w:rsid w:val="00CF2164"/>
    <w:rsid w:val="00CF3234"/>
    <w:rsid w:val="00CF48B4"/>
    <w:rsid w:val="00CF5B1B"/>
    <w:rsid w:val="00CF62D0"/>
    <w:rsid w:val="00D02944"/>
    <w:rsid w:val="00D05F6A"/>
    <w:rsid w:val="00D128D8"/>
    <w:rsid w:val="00D1368B"/>
    <w:rsid w:val="00D16CA2"/>
    <w:rsid w:val="00D177B6"/>
    <w:rsid w:val="00D214FD"/>
    <w:rsid w:val="00D21F6F"/>
    <w:rsid w:val="00D2392F"/>
    <w:rsid w:val="00D268DB"/>
    <w:rsid w:val="00D3014F"/>
    <w:rsid w:val="00D3295B"/>
    <w:rsid w:val="00D3419C"/>
    <w:rsid w:val="00D36C3E"/>
    <w:rsid w:val="00D40251"/>
    <w:rsid w:val="00D41B4E"/>
    <w:rsid w:val="00D47554"/>
    <w:rsid w:val="00D478A0"/>
    <w:rsid w:val="00D53379"/>
    <w:rsid w:val="00D5378F"/>
    <w:rsid w:val="00D57705"/>
    <w:rsid w:val="00D6055C"/>
    <w:rsid w:val="00D61695"/>
    <w:rsid w:val="00D61A27"/>
    <w:rsid w:val="00D66D42"/>
    <w:rsid w:val="00D736E2"/>
    <w:rsid w:val="00D7518C"/>
    <w:rsid w:val="00D8039C"/>
    <w:rsid w:val="00D80FC1"/>
    <w:rsid w:val="00D81854"/>
    <w:rsid w:val="00D820C3"/>
    <w:rsid w:val="00D85C06"/>
    <w:rsid w:val="00D9057C"/>
    <w:rsid w:val="00D90CB1"/>
    <w:rsid w:val="00D94566"/>
    <w:rsid w:val="00DA3E1D"/>
    <w:rsid w:val="00DA60E4"/>
    <w:rsid w:val="00DB3B8F"/>
    <w:rsid w:val="00DB4A26"/>
    <w:rsid w:val="00DB7F53"/>
    <w:rsid w:val="00DC08BA"/>
    <w:rsid w:val="00DC62B6"/>
    <w:rsid w:val="00DD0711"/>
    <w:rsid w:val="00DD3C36"/>
    <w:rsid w:val="00DD44CE"/>
    <w:rsid w:val="00DD4C9B"/>
    <w:rsid w:val="00DD726F"/>
    <w:rsid w:val="00DE6D71"/>
    <w:rsid w:val="00DF3F7F"/>
    <w:rsid w:val="00DF6EF5"/>
    <w:rsid w:val="00E02631"/>
    <w:rsid w:val="00E03A5D"/>
    <w:rsid w:val="00E07037"/>
    <w:rsid w:val="00E1100D"/>
    <w:rsid w:val="00E131BA"/>
    <w:rsid w:val="00E13B89"/>
    <w:rsid w:val="00E169EA"/>
    <w:rsid w:val="00E16B71"/>
    <w:rsid w:val="00E16EB4"/>
    <w:rsid w:val="00E179D0"/>
    <w:rsid w:val="00E2706B"/>
    <w:rsid w:val="00E32B6C"/>
    <w:rsid w:val="00E34F05"/>
    <w:rsid w:val="00E53300"/>
    <w:rsid w:val="00E73653"/>
    <w:rsid w:val="00E76E4E"/>
    <w:rsid w:val="00E77ABA"/>
    <w:rsid w:val="00E8043F"/>
    <w:rsid w:val="00E81634"/>
    <w:rsid w:val="00EA6F76"/>
    <w:rsid w:val="00EB0E21"/>
    <w:rsid w:val="00EB19AB"/>
    <w:rsid w:val="00EB38C5"/>
    <w:rsid w:val="00EC3079"/>
    <w:rsid w:val="00EC63DC"/>
    <w:rsid w:val="00ED0DFD"/>
    <w:rsid w:val="00ED3FD4"/>
    <w:rsid w:val="00ED4853"/>
    <w:rsid w:val="00EE011F"/>
    <w:rsid w:val="00F0665F"/>
    <w:rsid w:val="00F12C7B"/>
    <w:rsid w:val="00F14A99"/>
    <w:rsid w:val="00F17913"/>
    <w:rsid w:val="00F24311"/>
    <w:rsid w:val="00F30E89"/>
    <w:rsid w:val="00F32EE1"/>
    <w:rsid w:val="00F35AF3"/>
    <w:rsid w:val="00F421A1"/>
    <w:rsid w:val="00F43B35"/>
    <w:rsid w:val="00F6660A"/>
    <w:rsid w:val="00F70292"/>
    <w:rsid w:val="00F71728"/>
    <w:rsid w:val="00F7194C"/>
    <w:rsid w:val="00F72B3C"/>
    <w:rsid w:val="00F75E7A"/>
    <w:rsid w:val="00F75EA9"/>
    <w:rsid w:val="00F75F92"/>
    <w:rsid w:val="00F80B9D"/>
    <w:rsid w:val="00F823DD"/>
    <w:rsid w:val="00F82497"/>
    <w:rsid w:val="00F85DC5"/>
    <w:rsid w:val="00F93418"/>
    <w:rsid w:val="00F93CB6"/>
    <w:rsid w:val="00F95950"/>
    <w:rsid w:val="00FA0994"/>
    <w:rsid w:val="00FA126A"/>
    <w:rsid w:val="00FB3CC4"/>
    <w:rsid w:val="00FB4758"/>
    <w:rsid w:val="00FB59F2"/>
    <w:rsid w:val="00FB6174"/>
    <w:rsid w:val="00FB63B3"/>
    <w:rsid w:val="00FB7921"/>
    <w:rsid w:val="00FC1643"/>
    <w:rsid w:val="00FC2BE5"/>
    <w:rsid w:val="00FC6188"/>
    <w:rsid w:val="00FD3542"/>
    <w:rsid w:val="00FE0CD8"/>
    <w:rsid w:val="00FE1287"/>
    <w:rsid w:val="00FF0665"/>
    <w:rsid w:val="00FF2100"/>
    <w:rsid w:val="00FF38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3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268C3"/>
    <w:rPr>
      <w:sz w:val="16"/>
      <w:szCs w:val="16"/>
    </w:rPr>
  </w:style>
  <w:style w:type="paragraph" w:styleId="CommentText">
    <w:name w:val="annotation text"/>
    <w:basedOn w:val="Normal"/>
    <w:link w:val="CommentTextChar"/>
    <w:uiPriority w:val="99"/>
    <w:semiHidden/>
    <w:unhideWhenUsed/>
    <w:rsid w:val="006268C3"/>
    <w:pPr>
      <w:spacing w:line="240" w:lineRule="auto"/>
    </w:pPr>
    <w:rPr>
      <w:sz w:val="20"/>
      <w:szCs w:val="20"/>
    </w:rPr>
  </w:style>
  <w:style w:type="character" w:customStyle="1" w:styleId="CommentTextChar">
    <w:name w:val="Comment Text Char"/>
    <w:basedOn w:val="DefaultParagraphFont"/>
    <w:link w:val="CommentText"/>
    <w:uiPriority w:val="99"/>
    <w:semiHidden/>
    <w:rsid w:val="006268C3"/>
    <w:rPr>
      <w:sz w:val="20"/>
      <w:szCs w:val="20"/>
    </w:rPr>
  </w:style>
  <w:style w:type="paragraph" w:styleId="CommentSubject">
    <w:name w:val="annotation subject"/>
    <w:basedOn w:val="CommentText"/>
    <w:next w:val="CommentText"/>
    <w:link w:val="CommentSubjectChar"/>
    <w:uiPriority w:val="99"/>
    <w:semiHidden/>
    <w:unhideWhenUsed/>
    <w:rsid w:val="006268C3"/>
    <w:rPr>
      <w:b/>
      <w:bCs/>
    </w:rPr>
  </w:style>
  <w:style w:type="character" w:customStyle="1" w:styleId="CommentSubjectChar">
    <w:name w:val="Comment Subject Char"/>
    <w:basedOn w:val="CommentTextChar"/>
    <w:link w:val="CommentSubject"/>
    <w:uiPriority w:val="99"/>
    <w:semiHidden/>
    <w:rsid w:val="006268C3"/>
    <w:rPr>
      <w:b/>
      <w:bCs/>
      <w:sz w:val="20"/>
      <w:szCs w:val="20"/>
    </w:rPr>
  </w:style>
  <w:style w:type="paragraph" w:styleId="BalloonText">
    <w:name w:val="Balloon Text"/>
    <w:basedOn w:val="Normal"/>
    <w:link w:val="BalloonTextChar"/>
    <w:uiPriority w:val="99"/>
    <w:semiHidden/>
    <w:unhideWhenUsed/>
    <w:rsid w:val="00626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8C3"/>
    <w:rPr>
      <w:rFonts w:ascii="Tahoma" w:hAnsi="Tahoma" w:cs="Tahoma"/>
      <w:sz w:val="16"/>
      <w:szCs w:val="16"/>
    </w:rPr>
  </w:style>
  <w:style w:type="paragraph" w:styleId="Header">
    <w:name w:val="header"/>
    <w:basedOn w:val="Normal"/>
    <w:link w:val="HeaderChar"/>
    <w:uiPriority w:val="99"/>
    <w:unhideWhenUsed/>
    <w:rsid w:val="002B4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96C"/>
  </w:style>
  <w:style w:type="paragraph" w:styleId="Footer">
    <w:name w:val="footer"/>
    <w:basedOn w:val="Normal"/>
    <w:link w:val="FooterChar"/>
    <w:uiPriority w:val="99"/>
    <w:unhideWhenUsed/>
    <w:rsid w:val="002B4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96C"/>
  </w:style>
  <w:style w:type="paragraph" w:styleId="ListParagraph">
    <w:name w:val="List Paragraph"/>
    <w:basedOn w:val="Normal"/>
    <w:uiPriority w:val="34"/>
    <w:qFormat/>
    <w:rsid w:val="00C77186"/>
    <w:pPr>
      <w:ind w:left="720"/>
      <w:contextualSpacing/>
    </w:pPr>
  </w:style>
  <w:style w:type="paragraph" w:styleId="Revision">
    <w:name w:val="Revision"/>
    <w:hidden/>
    <w:uiPriority w:val="99"/>
    <w:semiHidden/>
    <w:rsid w:val="004C009F"/>
    <w:pPr>
      <w:spacing w:after="0" w:line="240" w:lineRule="auto"/>
    </w:pPr>
  </w:style>
  <w:style w:type="character" w:customStyle="1" w:styleId="Heading1Char">
    <w:name w:val="Heading 1 Char"/>
    <w:basedOn w:val="DefaultParagraphFont"/>
    <w:link w:val="Heading1"/>
    <w:uiPriority w:val="9"/>
    <w:rsid w:val="00EB38C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8264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71A0D"/>
    <w:pPr>
      <w:spacing w:before="100" w:beforeAutospacing="1" w:after="100" w:afterAutospacing="1" w:line="240" w:lineRule="auto"/>
    </w:pPr>
    <w:rPr>
      <w:rFonts w:ascii="Times New Roman" w:eastAsiaTheme="minorEastAsia" w:hAnsi="Times New Roman" w:cs="Times New Roman"/>
      <w:sz w:val="24"/>
      <w:szCs w:val="24"/>
    </w:rPr>
  </w:style>
  <w:style w:type="paragraph" w:styleId="Subtitle">
    <w:name w:val="Subtitle"/>
    <w:basedOn w:val="Normal"/>
    <w:next w:val="Normal"/>
    <w:link w:val="SubtitleChar"/>
    <w:uiPriority w:val="11"/>
    <w:qFormat/>
    <w:rsid w:val="00CE21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21A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3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268C3"/>
    <w:rPr>
      <w:sz w:val="16"/>
      <w:szCs w:val="16"/>
    </w:rPr>
  </w:style>
  <w:style w:type="paragraph" w:styleId="CommentText">
    <w:name w:val="annotation text"/>
    <w:basedOn w:val="Normal"/>
    <w:link w:val="CommentTextChar"/>
    <w:uiPriority w:val="99"/>
    <w:semiHidden/>
    <w:unhideWhenUsed/>
    <w:rsid w:val="006268C3"/>
    <w:pPr>
      <w:spacing w:line="240" w:lineRule="auto"/>
    </w:pPr>
    <w:rPr>
      <w:sz w:val="20"/>
      <w:szCs w:val="20"/>
    </w:rPr>
  </w:style>
  <w:style w:type="character" w:customStyle="1" w:styleId="CommentTextChar">
    <w:name w:val="Comment Text Char"/>
    <w:basedOn w:val="DefaultParagraphFont"/>
    <w:link w:val="CommentText"/>
    <w:uiPriority w:val="99"/>
    <w:semiHidden/>
    <w:rsid w:val="006268C3"/>
    <w:rPr>
      <w:sz w:val="20"/>
      <w:szCs w:val="20"/>
    </w:rPr>
  </w:style>
  <w:style w:type="paragraph" w:styleId="CommentSubject">
    <w:name w:val="annotation subject"/>
    <w:basedOn w:val="CommentText"/>
    <w:next w:val="CommentText"/>
    <w:link w:val="CommentSubjectChar"/>
    <w:uiPriority w:val="99"/>
    <w:semiHidden/>
    <w:unhideWhenUsed/>
    <w:rsid w:val="006268C3"/>
    <w:rPr>
      <w:b/>
      <w:bCs/>
    </w:rPr>
  </w:style>
  <w:style w:type="character" w:customStyle="1" w:styleId="CommentSubjectChar">
    <w:name w:val="Comment Subject Char"/>
    <w:basedOn w:val="CommentTextChar"/>
    <w:link w:val="CommentSubject"/>
    <w:uiPriority w:val="99"/>
    <w:semiHidden/>
    <w:rsid w:val="006268C3"/>
    <w:rPr>
      <w:b/>
      <w:bCs/>
      <w:sz w:val="20"/>
      <w:szCs w:val="20"/>
    </w:rPr>
  </w:style>
  <w:style w:type="paragraph" w:styleId="BalloonText">
    <w:name w:val="Balloon Text"/>
    <w:basedOn w:val="Normal"/>
    <w:link w:val="BalloonTextChar"/>
    <w:uiPriority w:val="99"/>
    <w:semiHidden/>
    <w:unhideWhenUsed/>
    <w:rsid w:val="00626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8C3"/>
    <w:rPr>
      <w:rFonts w:ascii="Tahoma" w:hAnsi="Tahoma" w:cs="Tahoma"/>
      <w:sz w:val="16"/>
      <w:szCs w:val="16"/>
    </w:rPr>
  </w:style>
  <w:style w:type="paragraph" w:styleId="Header">
    <w:name w:val="header"/>
    <w:basedOn w:val="Normal"/>
    <w:link w:val="HeaderChar"/>
    <w:uiPriority w:val="99"/>
    <w:unhideWhenUsed/>
    <w:rsid w:val="002B4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96C"/>
  </w:style>
  <w:style w:type="paragraph" w:styleId="Footer">
    <w:name w:val="footer"/>
    <w:basedOn w:val="Normal"/>
    <w:link w:val="FooterChar"/>
    <w:uiPriority w:val="99"/>
    <w:unhideWhenUsed/>
    <w:rsid w:val="002B4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96C"/>
  </w:style>
  <w:style w:type="paragraph" w:styleId="ListParagraph">
    <w:name w:val="List Paragraph"/>
    <w:basedOn w:val="Normal"/>
    <w:uiPriority w:val="34"/>
    <w:qFormat/>
    <w:rsid w:val="00C77186"/>
    <w:pPr>
      <w:ind w:left="720"/>
      <w:contextualSpacing/>
    </w:pPr>
  </w:style>
  <w:style w:type="paragraph" w:styleId="Revision">
    <w:name w:val="Revision"/>
    <w:hidden/>
    <w:uiPriority w:val="99"/>
    <w:semiHidden/>
    <w:rsid w:val="004C009F"/>
    <w:pPr>
      <w:spacing w:after="0" w:line="240" w:lineRule="auto"/>
    </w:pPr>
  </w:style>
  <w:style w:type="character" w:customStyle="1" w:styleId="Heading1Char">
    <w:name w:val="Heading 1 Char"/>
    <w:basedOn w:val="DefaultParagraphFont"/>
    <w:link w:val="Heading1"/>
    <w:uiPriority w:val="9"/>
    <w:rsid w:val="00EB38C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8264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71A0D"/>
    <w:pPr>
      <w:spacing w:before="100" w:beforeAutospacing="1" w:after="100" w:afterAutospacing="1" w:line="240" w:lineRule="auto"/>
    </w:pPr>
    <w:rPr>
      <w:rFonts w:ascii="Times New Roman" w:eastAsiaTheme="minorEastAsia" w:hAnsi="Times New Roman" w:cs="Times New Roman"/>
      <w:sz w:val="24"/>
      <w:szCs w:val="24"/>
    </w:rPr>
  </w:style>
  <w:style w:type="paragraph" w:styleId="Subtitle">
    <w:name w:val="Subtitle"/>
    <w:basedOn w:val="Normal"/>
    <w:next w:val="Normal"/>
    <w:link w:val="SubtitleChar"/>
    <w:uiPriority w:val="11"/>
    <w:qFormat/>
    <w:rsid w:val="00CE21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21A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95701">
      <w:bodyDiv w:val="1"/>
      <w:marLeft w:val="0"/>
      <w:marRight w:val="0"/>
      <w:marTop w:val="0"/>
      <w:marBottom w:val="0"/>
      <w:divBdr>
        <w:top w:val="none" w:sz="0" w:space="0" w:color="auto"/>
        <w:left w:val="none" w:sz="0" w:space="0" w:color="auto"/>
        <w:bottom w:val="none" w:sz="0" w:space="0" w:color="auto"/>
        <w:right w:val="none" w:sz="0" w:space="0" w:color="auto"/>
      </w:divBdr>
    </w:div>
    <w:div w:id="670640071">
      <w:bodyDiv w:val="1"/>
      <w:marLeft w:val="0"/>
      <w:marRight w:val="0"/>
      <w:marTop w:val="0"/>
      <w:marBottom w:val="0"/>
      <w:divBdr>
        <w:top w:val="none" w:sz="0" w:space="0" w:color="auto"/>
        <w:left w:val="none" w:sz="0" w:space="0" w:color="auto"/>
        <w:bottom w:val="none" w:sz="0" w:space="0" w:color="auto"/>
        <w:right w:val="none" w:sz="0" w:space="0" w:color="auto"/>
      </w:divBdr>
    </w:div>
    <w:div w:id="787628779">
      <w:bodyDiv w:val="1"/>
      <w:marLeft w:val="0"/>
      <w:marRight w:val="0"/>
      <w:marTop w:val="0"/>
      <w:marBottom w:val="0"/>
      <w:divBdr>
        <w:top w:val="none" w:sz="0" w:space="0" w:color="auto"/>
        <w:left w:val="none" w:sz="0" w:space="0" w:color="auto"/>
        <w:bottom w:val="none" w:sz="0" w:space="0" w:color="auto"/>
        <w:right w:val="none" w:sz="0" w:space="0" w:color="auto"/>
      </w:divBdr>
    </w:div>
    <w:div w:id="1220357906">
      <w:bodyDiv w:val="1"/>
      <w:marLeft w:val="0"/>
      <w:marRight w:val="0"/>
      <w:marTop w:val="0"/>
      <w:marBottom w:val="0"/>
      <w:divBdr>
        <w:top w:val="none" w:sz="0" w:space="0" w:color="auto"/>
        <w:left w:val="none" w:sz="0" w:space="0" w:color="auto"/>
        <w:bottom w:val="none" w:sz="0" w:space="0" w:color="auto"/>
        <w:right w:val="none" w:sz="0" w:space="0" w:color="auto"/>
      </w:divBdr>
    </w:div>
    <w:div w:id="1412115282">
      <w:bodyDiv w:val="1"/>
      <w:marLeft w:val="0"/>
      <w:marRight w:val="0"/>
      <w:marTop w:val="0"/>
      <w:marBottom w:val="0"/>
      <w:divBdr>
        <w:top w:val="none" w:sz="0" w:space="0" w:color="auto"/>
        <w:left w:val="none" w:sz="0" w:space="0" w:color="auto"/>
        <w:bottom w:val="none" w:sz="0" w:space="0" w:color="auto"/>
        <w:right w:val="none" w:sz="0" w:space="0" w:color="auto"/>
      </w:divBdr>
    </w:div>
    <w:div w:id="1413774997">
      <w:bodyDiv w:val="1"/>
      <w:marLeft w:val="0"/>
      <w:marRight w:val="0"/>
      <w:marTop w:val="0"/>
      <w:marBottom w:val="0"/>
      <w:divBdr>
        <w:top w:val="none" w:sz="0" w:space="0" w:color="auto"/>
        <w:left w:val="none" w:sz="0" w:space="0" w:color="auto"/>
        <w:bottom w:val="none" w:sz="0" w:space="0" w:color="auto"/>
        <w:right w:val="none" w:sz="0" w:space="0" w:color="auto"/>
      </w:divBdr>
    </w:div>
    <w:div w:id="1481656296">
      <w:bodyDiv w:val="1"/>
      <w:marLeft w:val="0"/>
      <w:marRight w:val="0"/>
      <w:marTop w:val="0"/>
      <w:marBottom w:val="0"/>
      <w:divBdr>
        <w:top w:val="none" w:sz="0" w:space="0" w:color="auto"/>
        <w:left w:val="none" w:sz="0" w:space="0" w:color="auto"/>
        <w:bottom w:val="none" w:sz="0" w:space="0" w:color="auto"/>
        <w:right w:val="none" w:sz="0" w:space="0" w:color="auto"/>
      </w:divBdr>
    </w:div>
    <w:div w:id="1518884684">
      <w:bodyDiv w:val="1"/>
      <w:marLeft w:val="0"/>
      <w:marRight w:val="0"/>
      <w:marTop w:val="0"/>
      <w:marBottom w:val="0"/>
      <w:divBdr>
        <w:top w:val="none" w:sz="0" w:space="0" w:color="auto"/>
        <w:left w:val="none" w:sz="0" w:space="0" w:color="auto"/>
        <w:bottom w:val="none" w:sz="0" w:space="0" w:color="auto"/>
        <w:right w:val="none" w:sz="0" w:space="0" w:color="auto"/>
      </w:divBdr>
    </w:div>
    <w:div w:id="1576234021">
      <w:bodyDiv w:val="1"/>
      <w:marLeft w:val="0"/>
      <w:marRight w:val="0"/>
      <w:marTop w:val="0"/>
      <w:marBottom w:val="0"/>
      <w:divBdr>
        <w:top w:val="none" w:sz="0" w:space="0" w:color="auto"/>
        <w:left w:val="none" w:sz="0" w:space="0" w:color="auto"/>
        <w:bottom w:val="none" w:sz="0" w:space="0" w:color="auto"/>
        <w:right w:val="none" w:sz="0" w:space="0" w:color="auto"/>
      </w:divBdr>
    </w:div>
    <w:div w:id="1696464972">
      <w:bodyDiv w:val="1"/>
      <w:marLeft w:val="0"/>
      <w:marRight w:val="0"/>
      <w:marTop w:val="0"/>
      <w:marBottom w:val="0"/>
      <w:divBdr>
        <w:top w:val="none" w:sz="0" w:space="0" w:color="auto"/>
        <w:left w:val="none" w:sz="0" w:space="0" w:color="auto"/>
        <w:bottom w:val="none" w:sz="0" w:space="0" w:color="auto"/>
        <w:right w:val="none" w:sz="0" w:space="0" w:color="auto"/>
      </w:divBdr>
    </w:div>
    <w:div w:id="1819836051">
      <w:bodyDiv w:val="1"/>
      <w:marLeft w:val="0"/>
      <w:marRight w:val="0"/>
      <w:marTop w:val="0"/>
      <w:marBottom w:val="0"/>
      <w:divBdr>
        <w:top w:val="none" w:sz="0" w:space="0" w:color="auto"/>
        <w:left w:val="none" w:sz="0" w:space="0" w:color="auto"/>
        <w:bottom w:val="none" w:sz="0" w:space="0" w:color="auto"/>
        <w:right w:val="none" w:sz="0" w:space="0" w:color="auto"/>
      </w:divBdr>
    </w:div>
    <w:div w:id="1949579254">
      <w:bodyDiv w:val="1"/>
      <w:marLeft w:val="0"/>
      <w:marRight w:val="0"/>
      <w:marTop w:val="0"/>
      <w:marBottom w:val="0"/>
      <w:divBdr>
        <w:top w:val="none" w:sz="0" w:space="0" w:color="auto"/>
        <w:left w:val="none" w:sz="0" w:space="0" w:color="auto"/>
        <w:bottom w:val="none" w:sz="0" w:space="0" w:color="auto"/>
        <w:right w:val="none" w:sz="0" w:space="0" w:color="auto"/>
      </w:divBdr>
    </w:div>
    <w:div w:id="2015643312">
      <w:bodyDiv w:val="1"/>
      <w:marLeft w:val="0"/>
      <w:marRight w:val="0"/>
      <w:marTop w:val="0"/>
      <w:marBottom w:val="0"/>
      <w:divBdr>
        <w:top w:val="none" w:sz="0" w:space="0" w:color="auto"/>
        <w:left w:val="none" w:sz="0" w:space="0" w:color="auto"/>
        <w:bottom w:val="none" w:sz="0" w:space="0" w:color="auto"/>
        <w:right w:val="none" w:sz="0" w:space="0" w:color="auto"/>
      </w:divBdr>
    </w:div>
    <w:div w:id="213675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chart" Target="charts/chart9.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chart" Target="charts/chart4.xml"/><Relationship Id="rId20" Type="http://schemas.openxmlformats.org/officeDocument/2006/relationships/chart" Target="charts/chart8.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chart" Target="charts/chart3.xml"/><Relationship Id="rId23" Type="http://schemas.openxmlformats.org/officeDocument/2006/relationships/chart" Target="charts/chart11.xml"/><Relationship Id="rId10" Type="http://schemas.openxmlformats.org/officeDocument/2006/relationships/webSettings" Target="webSettings.xml"/><Relationship Id="rId19" Type="http://schemas.openxmlformats.org/officeDocument/2006/relationships/chart" Target="charts/chart7.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chart" Target="charts/chart2.xml"/><Relationship Id="rId22" Type="http://schemas.openxmlformats.org/officeDocument/2006/relationships/chart" Target="charts/chart10.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gvandend\AppData\Local\Microsoft\Windows\Temporary%20Internet%20Files\Content.Outlook\2KNM3KP3\Exhibit%20D%20-%20Ventra%20-%20Ridership%20Transition%20Data%20Set%20(Through%201-26)%20(2).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gvandend\Documents\Project%20Files\CTA_OSFS\DataAnalytics\Deliverables\20140129\Exhibit%20A2%20-%20Tap%20Processing%20Time%20Analysis%20-%20Bus%20(As%20of%2001_28).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cderosia\Desktop\ventra\20140129\Exhibit%20A2%20-%20Tap%20Processing%20Time%20Analysis%20-%20Bus%20(As%20of%2001_2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derosia\Desktop\ventra\20140129\Exhibit_X_-_Account_Statistics_(As_of_1_2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deliver.ch2m.com/projects/432084/Shared%20Documents/Data%20Analytics%20task/Work%20Products/20140129/Exhibits_H_H2_-_Call_Center_Activity_(As_of_1_2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derosia\Desktop\ventra\20140129\Exhibits_H_H2_-_Call_Center_Activity_(As_of_1_2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derosia\Desktop\ventra\20140129\Exhibits_H_H2_-_Call_Center_Activity_(As_of_1_2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derosia\Desktop\ventra\20140129\Exhibits_H_H2_-_Call_Center_Activity_(As_of_1_2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derosia\Desktop\ventra\20140129\TapTimeByDay_Container%20(As%20of%201_28).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gvandend\Documents\Project%20Files\CTA_OSFS\DataAnalytics\Deliverables\20140129\Exhibit%20A%20-%20Tap%20Processing%20Time%20Analysis%20-%20Rail%20(As%20of%2001_28).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cderosia\Desktop\ventra\20140129\Exhibit%20A%20-%20Tap%20Processing%20Time%20Analysis%20-%20Rail%20(As%20of%2001_2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b="1" i="0" baseline="0">
                <a:effectLst/>
                <a:latin typeface="+mn-lt"/>
              </a:rPr>
              <a:t>Weekly Market Share:  Ventra v. Legacy (Week Ending)</a:t>
            </a:r>
          </a:p>
        </c:rich>
      </c:tx>
      <c:layout/>
      <c:overlay val="0"/>
    </c:title>
    <c:autoTitleDeleted val="0"/>
    <c:plotArea>
      <c:layout>
        <c:manualLayout>
          <c:layoutTarget val="inner"/>
          <c:xMode val="edge"/>
          <c:yMode val="edge"/>
          <c:x val="0.13142926845682751"/>
          <c:y val="0.1470541298078481"/>
          <c:w val="0.82168500572043879"/>
          <c:h val="0.65597274877677325"/>
        </c:manualLayout>
      </c:layout>
      <c:barChart>
        <c:barDir val="col"/>
        <c:grouping val="stacked"/>
        <c:varyColors val="0"/>
        <c:ser>
          <c:idx val="0"/>
          <c:order val="0"/>
          <c:tx>
            <c:v>Ventra Taps</c:v>
          </c:tx>
          <c:spPr>
            <a:solidFill>
              <a:schemeClr val="accent1"/>
            </a:solidFill>
          </c:spPr>
          <c:invertIfNegative val="0"/>
          <c:dLbls>
            <c:dLbl>
              <c:idx val="0"/>
              <c:layout/>
              <c:tx>
                <c:rich>
                  <a:bodyPr/>
                  <a:lstStyle/>
                  <a:p>
                    <a:r>
                      <a:rPr lang="en-US" sz="700">
                        <a:solidFill>
                          <a:schemeClr val="bg1"/>
                        </a:solidFill>
                      </a:rPr>
                      <a:t> 17%</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sz="700">
                        <a:solidFill>
                          <a:schemeClr val="bg1"/>
                        </a:solidFill>
                      </a:rPr>
                      <a:t> 22%</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sz="700">
                        <a:solidFill>
                          <a:schemeClr val="bg1"/>
                        </a:solidFill>
                      </a:rPr>
                      <a:t> 28%</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layout/>
              <c:tx>
                <c:rich>
                  <a:bodyPr/>
                  <a:lstStyle/>
                  <a:p>
                    <a:r>
                      <a:rPr lang="en-US" sz="700">
                        <a:solidFill>
                          <a:schemeClr val="bg1"/>
                        </a:solidFill>
                      </a:rPr>
                      <a:t> 33%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layout/>
              <c:tx>
                <c:rich>
                  <a:bodyPr/>
                  <a:lstStyle/>
                  <a:p>
                    <a:r>
                      <a:rPr lang="en-US" sz="700">
                        <a:solidFill>
                          <a:schemeClr val="bg1"/>
                        </a:solidFill>
                      </a:rPr>
                      <a:t> 40%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5"/>
              <c:layout/>
              <c:tx>
                <c:rich>
                  <a:bodyPr/>
                  <a:lstStyle/>
                  <a:p>
                    <a:r>
                      <a:rPr lang="en-US" sz="700">
                        <a:solidFill>
                          <a:schemeClr val="bg1"/>
                        </a:solidFill>
                      </a:rPr>
                      <a:t> 45%</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6"/>
              <c:layout/>
              <c:tx>
                <c:rich>
                  <a:bodyPr/>
                  <a:lstStyle/>
                  <a:p>
                    <a:r>
                      <a:rPr lang="en-US" sz="700">
                        <a:solidFill>
                          <a:schemeClr val="bg1"/>
                        </a:solidFill>
                      </a:rPr>
                      <a:t> 50%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7"/>
              <c:layout/>
              <c:tx>
                <c:rich>
                  <a:bodyPr/>
                  <a:lstStyle/>
                  <a:p>
                    <a:r>
                      <a:rPr lang="en-US" sz="700">
                        <a:solidFill>
                          <a:schemeClr val="bg1"/>
                        </a:solidFill>
                      </a:rPr>
                      <a:t> 54%</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8"/>
              <c:layout/>
              <c:tx>
                <c:rich>
                  <a:bodyPr/>
                  <a:lstStyle/>
                  <a:p>
                    <a:r>
                      <a:rPr lang="en-US" sz="700">
                        <a:solidFill>
                          <a:schemeClr val="bg1"/>
                        </a:solidFill>
                      </a:rPr>
                      <a:t> 59%</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9"/>
              <c:layout/>
              <c:tx>
                <c:rich>
                  <a:bodyPr/>
                  <a:lstStyle/>
                  <a:p>
                    <a:pPr>
                      <a:defRPr sz="600">
                        <a:solidFill>
                          <a:schemeClr val="bg1"/>
                        </a:solidFill>
                      </a:defRPr>
                    </a:pPr>
                    <a:r>
                      <a:rPr lang="en-US" sz="600">
                        <a:solidFill>
                          <a:schemeClr val="bg1"/>
                        </a:solidFill>
                      </a:rPr>
                      <a:t>63%</a:t>
                    </a:r>
                    <a:endParaRPr lang="en-US" sz="600"/>
                  </a:p>
                </c:rich>
              </c:tx>
              <c:numFmt formatCode="0%" sourceLinked="0"/>
              <c:spPr/>
              <c:showLegendKey val="0"/>
              <c:showVal val="1"/>
              <c:showCatName val="0"/>
              <c:showSerName val="0"/>
              <c:showPercent val="0"/>
              <c:showBubbleSize val="0"/>
            </c:dLbl>
            <c:dLbl>
              <c:idx val="10"/>
              <c:layout>
                <c:manualLayout>
                  <c:x val="-2.0934189008693623E-3"/>
                  <c:y val="0"/>
                </c:manualLayout>
              </c:layout>
              <c:tx>
                <c:rich>
                  <a:bodyPr/>
                  <a:lstStyle/>
                  <a:p>
                    <a:r>
                      <a:rPr lang="en-US" sz="700"/>
                      <a:t> 65%</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1"/>
              <c:layout/>
              <c:tx>
                <c:rich>
                  <a:bodyPr/>
                  <a:lstStyle/>
                  <a:p>
                    <a:r>
                      <a:rPr lang="en-US" sz="700"/>
                      <a:t> 66%</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2"/>
              <c:layout/>
              <c:tx>
                <c:rich>
                  <a:bodyPr/>
                  <a:lstStyle/>
                  <a:p>
                    <a:r>
                      <a:rPr lang="en-US" sz="700"/>
                      <a:t>69%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3"/>
              <c:layout>
                <c:manualLayout>
                  <c:x val="2.0905346353029407E-3"/>
                  <c:y val="0"/>
                </c:manualLayout>
              </c:layout>
              <c:tx>
                <c:rich>
                  <a:bodyPr/>
                  <a:lstStyle/>
                  <a:p>
                    <a:r>
                      <a:rPr lang="en-US"/>
                      <a:t>73%</a:t>
                    </a:r>
                  </a:p>
                </c:rich>
              </c:tx>
              <c:showLegendKey val="0"/>
              <c:showVal val="1"/>
              <c:showCatName val="0"/>
              <c:showSerName val="0"/>
              <c:showPercent val="0"/>
              <c:showBubbleSize val="0"/>
              <c:extLst>
                <c:ext xmlns:c15="http://schemas.microsoft.com/office/drawing/2012/chart" uri="{CE6537A1-D6FC-4f65-9D91-7224C49458BB}"/>
              </c:extLst>
            </c:dLbl>
            <c:dLbl>
              <c:idx val="14"/>
              <c:layout/>
              <c:tx>
                <c:rich>
                  <a:bodyPr/>
                  <a:lstStyle/>
                  <a:p>
                    <a:r>
                      <a:rPr lang="en-US"/>
                      <a:t> 73% </a:t>
                    </a:r>
                  </a:p>
                </c:rich>
              </c:tx>
              <c:showLegendKey val="0"/>
              <c:showVal val="1"/>
              <c:showCatName val="0"/>
              <c:showSerName val="0"/>
              <c:showPercent val="0"/>
              <c:showBubbleSize val="0"/>
              <c:extLst>
                <c:ext xmlns:c15="http://schemas.microsoft.com/office/drawing/2012/chart" uri="{CE6537A1-D6FC-4f65-9D91-7224C49458BB}"/>
              </c:extLst>
            </c:dLbl>
            <c:dLbl>
              <c:idx val="15"/>
              <c:layout/>
              <c:tx>
                <c:rich>
                  <a:bodyPr/>
                  <a:lstStyle/>
                  <a:p>
                    <a:r>
                      <a:rPr lang="en-US"/>
                      <a:t> 73%</a:t>
                    </a:r>
                  </a:p>
                </c:rich>
              </c:tx>
              <c:showLegendKey val="0"/>
              <c:showVal val="1"/>
              <c:showCatName val="0"/>
              <c:showSerName val="0"/>
              <c:showPercent val="0"/>
              <c:showBubbleSize val="0"/>
              <c:extLst>
                <c:ext xmlns:c15="http://schemas.microsoft.com/office/drawing/2012/chart" uri="{CE6537A1-D6FC-4f65-9D91-7224C49458BB}"/>
              </c:extLst>
            </c:dLbl>
            <c:dLbl>
              <c:idx val="16"/>
              <c:layout/>
              <c:tx>
                <c:rich>
                  <a:bodyPr/>
                  <a:lstStyle/>
                  <a:p>
                    <a:r>
                      <a:rPr lang="en-US"/>
                      <a:t> 73%</a:t>
                    </a:r>
                  </a:p>
                </c:rich>
              </c:tx>
              <c:showLegendKey val="0"/>
              <c:showVal val="1"/>
              <c:showCatName val="0"/>
              <c:showSerName val="0"/>
              <c:showPercent val="0"/>
              <c:showBubbleSize val="0"/>
              <c:extLst>
                <c:ext xmlns:c15="http://schemas.microsoft.com/office/drawing/2012/chart" uri="{CE6537A1-D6FC-4f65-9D91-7224C49458BB}"/>
              </c:extLst>
            </c:dLbl>
            <c:dLbl>
              <c:idx val="17"/>
              <c:layout/>
              <c:tx>
                <c:rich>
                  <a:bodyPr/>
                  <a:lstStyle/>
                  <a:p>
                    <a:r>
                      <a:rPr lang="en-US"/>
                      <a:t> 77%</a:t>
                    </a:r>
                  </a:p>
                </c:rich>
              </c:tx>
              <c:showLegendKey val="0"/>
              <c:showVal val="1"/>
              <c:showCatName val="0"/>
              <c:showSerName val="0"/>
              <c:showPercent val="0"/>
              <c:showBubbleSize val="0"/>
              <c:extLst>
                <c:ext xmlns:c15="http://schemas.microsoft.com/office/drawing/2012/chart" uri="{CE6537A1-D6FC-4f65-9D91-7224C49458BB}"/>
              </c:extLst>
            </c:dLbl>
            <c:dLbl>
              <c:idx val="18"/>
              <c:layout/>
              <c:tx>
                <c:rich>
                  <a:bodyPr/>
                  <a:lstStyle/>
                  <a:p>
                    <a:r>
                      <a:rPr lang="en-US"/>
                      <a:t> 77%</a:t>
                    </a:r>
                  </a:p>
                </c:rich>
              </c:tx>
              <c:showLegendKey val="0"/>
              <c:showVal val="1"/>
              <c:showCatName val="0"/>
              <c:showSerName val="0"/>
              <c:showPercent val="0"/>
              <c:showBubbleSize val="0"/>
              <c:extLst>
                <c:ext xmlns:c15="http://schemas.microsoft.com/office/drawing/2012/chart" uri="{CE6537A1-D6FC-4f65-9D91-7224C49458BB}"/>
              </c:extLst>
            </c:dLbl>
            <c:dLbl>
              <c:idx val="19"/>
              <c:layout/>
              <c:tx>
                <c:rich>
                  <a:bodyPr/>
                  <a:lstStyle/>
                  <a:p>
                    <a:r>
                      <a:rPr lang="en-US"/>
                      <a:t> 79%</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60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'[Exhibit D - Ventra - Ridership Transition Data Set (Through 1-26) (2).xlsx]Cumulative Weekly View'!$A$3:$A$22</c:f>
              <c:numCache>
                <c:formatCode>m/d;@</c:formatCode>
                <c:ptCount val="20"/>
                <c:pt idx="0">
                  <c:v>41531</c:v>
                </c:pt>
                <c:pt idx="1">
                  <c:v>41538</c:v>
                </c:pt>
                <c:pt idx="2">
                  <c:v>41545</c:v>
                </c:pt>
                <c:pt idx="3">
                  <c:v>41552</c:v>
                </c:pt>
                <c:pt idx="4">
                  <c:v>41559</c:v>
                </c:pt>
                <c:pt idx="5">
                  <c:v>41566</c:v>
                </c:pt>
                <c:pt idx="6">
                  <c:v>41573</c:v>
                </c:pt>
                <c:pt idx="7">
                  <c:v>41580</c:v>
                </c:pt>
                <c:pt idx="8">
                  <c:v>41587</c:v>
                </c:pt>
                <c:pt idx="9">
                  <c:v>41594</c:v>
                </c:pt>
                <c:pt idx="10">
                  <c:v>41601</c:v>
                </c:pt>
                <c:pt idx="11">
                  <c:v>41608</c:v>
                </c:pt>
                <c:pt idx="12">
                  <c:v>41615</c:v>
                </c:pt>
                <c:pt idx="13">
                  <c:v>41622</c:v>
                </c:pt>
                <c:pt idx="14">
                  <c:v>41629</c:v>
                </c:pt>
                <c:pt idx="15">
                  <c:v>41636</c:v>
                </c:pt>
                <c:pt idx="16">
                  <c:v>41643</c:v>
                </c:pt>
                <c:pt idx="17">
                  <c:v>41650</c:v>
                </c:pt>
                <c:pt idx="18">
                  <c:v>41657</c:v>
                </c:pt>
                <c:pt idx="19">
                  <c:v>41664</c:v>
                </c:pt>
              </c:numCache>
            </c:numRef>
          </c:cat>
          <c:val>
            <c:numRef>
              <c:f>'[Exhibit D - Ventra - Ridership Transition Data Set (Through 1-26) (2).xlsx]Cumulative Weekly View'!$C$3:$C$22</c:f>
              <c:numCache>
                <c:formatCode>_(* #,##0_);_(* \(#,##0\);_(* "-"??_);_(@_)</c:formatCode>
                <c:ptCount val="20"/>
                <c:pt idx="0">
                  <c:v>1355768</c:v>
                </c:pt>
                <c:pt idx="1">
                  <c:v>1933762</c:v>
                </c:pt>
                <c:pt idx="2">
                  <c:v>2436958</c:v>
                </c:pt>
                <c:pt idx="3">
                  <c:v>2870210</c:v>
                </c:pt>
                <c:pt idx="4">
                  <c:v>3487605</c:v>
                </c:pt>
                <c:pt idx="5">
                  <c:v>3851346</c:v>
                </c:pt>
                <c:pt idx="6">
                  <c:v>4328956</c:v>
                </c:pt>
                <c:pt idx="7">
                  <c:v>4606799</c:v>
                </c:pt>
                <c:pt idx="8">
                  <c:v>5131135</c:v>
                </c:pt>
                <c:pt idx="9">
                  <c:v>5096043</c:v>
                </c:pt>
                <c:pt idx="10">
                  <c:v>5389904</c:v>
                </c:pt>
                <c:pt idx="11">
                  <c:v>4235286</c:v>
                </c:pt>
                <c:pt idx="12">
                  <c:v>5731120</c:v>
                </c:pt>
                <c:pt idx="13">
                  <c:v>5838685</c:v>
                </c:pt>
                <c:pt idx="14">
                  <c:v>5725616</c:v>
                </c:pt>
                <c:pt idx="15">
                  <c:v>3742274</c:v>
                </c:pt>
                <c:pt idx="16">
                  <c:v>4128843</c:v>
                </c:pt>
                <c:pt idx="17">
                  <c:v>4866546</c:v>
                </c:pt>
                <c:pt idx="18">
                  <c:v>6405455</c:v>
                </c:pt>
                <c:pt idx="19">
                  <c:v>5802454</c:v>
                </c:pt>
              </c:numCache>
            </c:numRef>
          </c:val>
        </c:ser>
        <c:ser>
          <c:idx val="1"/>
          <c:order val="1"/>
          <c:tx>
            <c:v>Legacy Taps</c:v>
          </c:tx>
          <c:spPr>
            <a:solidFill>
              <a:schemeClr val="accent6"/>
            </a:solidFill>
            <a:ln>
              <a:noFill/>
            </a:ln>
          </c:spPr>
          <c:invertIfNegative val="0"/>
          <c:dLbls>
            <c:dLbl>
              <c:idx val="0"/>
              <c:layout/>
              <c:tx>
                <c:rich>
                  <a:bodyPr/>
                  <a:lstStyle/>
                  <a:p>
                    <a:r>
                      <a:rPr lang="en-US" sz="700">
                        <a:solidFill>
                          <a:sysClr val="windowText" lastClr="000000"/>
                        </a:solidFill>
                      </a:rPr>
                      <a:t> 83%</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layout/>
              <c:tx>
                <c:rich>
                  <a:bodyPr/>
                  <a:lstStyle/>
                  <a:p>
                    <a:r>
                      <a:rPr lang="en-US" sz="700">
                        <a:solidFill>
                          <a:sysClr val="windowText" lastClr="000000"/>
                        </a:solidFill>
                      </a:rPr>
                      <a:t> 78%</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2"/>
              <c:layout/>
              <c:tx>
                <c:rich>
                  <a:bodyPr/>
                  <a:lstStyle/>
                  <a:p>
                    <a:r>
                      <a:rPr lang="en-US" sz="700">
                        <a:solidFill>
                          <a:sysClr val="windowText" lastClr="000000"/>
                        </a:solidFill>
                      </a:rPr>
                      <a:t> 72%</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layout/>
              <c:tx>
                <c:rich>
                  <a:bodyPr/>
                  <a:lstStyle/>
                  <a:p>
                    <a:r>
                      <a:rPr lang="en-US" sz="700">
                        <a:solidFill>
                          <a:sysClr val="windowText" lastClr="000000"/>
                        </a:solidFill>
                      </a:rPr>
                      <a:t> 67%</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4"/>
              <c:layout/>
              <c:tx>
                <c:rich>
                  <a:bodyPr/>
                  <a:lstStyle/>
                  <a:p>
                    <a:r>
                      <a:rPr lang="en-US" sz="700">
                        <a:solidFill>
                          <a:sysClr val="windowText" lastClr="000000"/>
                        </a:solidFill>
                      </a:rPr>
                      <a:t> 60%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5"/>
              <c:layout/>
              <c:tx>
                <c:rich>
                  <a:bodyPr/>
                  <a:lstStyle/>
                  <a:p>
                    <a:r>
                      <a:rPr lang="en-US" sz="700">
                        <a:solidFill>
                          <a:sysClr val="windowText" lastClr="000000"/>
                        </a:solidFill>
                      </a:rPr>
                      <a:t> 55%</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6"/>
              <c:layout/>
              <c:tx>
                <c:rich>
                  <a:bodyPr/>
                  <a:lstStyle/>
                  <a:p>
                    <a:r>
                      <a:rPr lang="en-US" sz="700">
                        <a:solidFill>
                          <a:sysClr val="windowText" lastClr="000000"/>
                        </a:solidFill>
                      </a:rPr>
                      <a:t> 50%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7"/>
              <c:layout/>
              <c:tx>
                <c:rich>
                  <a:bodyPr/>
                  <a:lstStyle/>
                  <a:p>
                    <a:r>
                      <a:rPr lang="en-US" sz="700">
                        <a:solidFill>
                          <a:sysClr val="windowText" lastClr="000000"/>
                        </a:solidFill>
                      </a:rPr>
                      <a:t> 46% </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8"/>
              <c:layout/>
              <c:tx>
                <c:rich>
                  <a:bodyPr/>
                  <a:lstStyle/>
                  <a:p>
                    <a:r>
                      <a:rPr lang="en-US" sz="700">
                        <a:solidFill>
                          <a:sysClr val="windowText" lastClr="000000"/>
                        </a:solidFill>
                      </a:rPr>
                      <a:t> 41%</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9"/>
              <c:layout/>
              <c:tx>
                <c:rich>
                  <a:bodyPr/>
                  <a:lstStyle/>
                  <a:p>
                    <a:r>
                      <a:rPr lang="en-US" sz="700">
                        <a:solidFill>
                          <a:sysClr val="windowText" lastClr="000000"/>
                        </a:solidFill>
                      </a:rPr>
                      <a:t> 37%</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0"/>
              <c:layout/>
              <c:tx>
                <c:rich>
                  <a:bodyPr/>
                  <a:lstStyle/>
                  <a:p>
                    <a:r>
                      <a:rPr lang="en-US" sz="700"/>
                      <a:t>35%</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1"/>
              <c:layout/>
              <c:tx>
                <c:rich>
                  <a:bodyPr/>
                  <a:lstStyle/>
                  <a:p>
                    <a:r>
                      <a:rPr lang="en-US" sz="700"/>
                      <a:t> 34%</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2"/>
              <c:layout/>
              <c:tx>
                <c:rich>
                  <a:bodyPr/>
                  <a:lstStyle/>
                  <a:p>
                    <a:r>
                      <a:rPr lang="en-US" sz="700"/>
                      <a:t> 31%</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3"/>
              <c:layout/>
              <c:tx>
                <c:rich>
                  <a:bodyPr/>
                  <a:lstStyle/>
                  <a:p>
                    <a:r>
                      <a:rPr lang="en-US"/>
                      <a:t> 27% </a:t>
                    </a:r>
                  </a:p>
                </c:rich>
              </c:tx>
              <c:showLegendKey val="0"/>
              <c:showVal val="1"/>
              <c:showCatName val="0"/>
              <c:showSerName val="0"/>
              <c:showPercent val="0"/>
              <c:showBubbleSize val="0"/>
              <c:extLst>
                <c:ext xmlns:c15="http://schemas.microsoft.com/office/drawing/2012/chart" uri="{CE6537A1-D6FC-4f65-9D91-7224C49458BB}"/>
              </c:extLst>
            </c:dLbl>
            <c:dLbl>
              <c:idx val="14"/>
              <c:layout/>
              <c:tx>
                <c:rich>
                  <a:bodyPr/>
                  <a:lstStyle/>
                  <a:p>
                    <a:r>
                      <a:rPr lang="en-US"/>
                      <a:t> 27%</a:t>
                    </a:r>
                  </a:p>
                </c:rich>
              </c:tx>
              <c:showLegendKey val="0"/>
              <c:showVal val="1"/>
              <c:showCatName val="0"/>
              <c:showSerName val="0"/>
              <c:showPercent val="0"/>
              <c:showBubbleSize val="0"/>
              <c:extLst>
                <c:ext xmlns:c15="http://schemas.microsoft.com/office/drawing/2012/chart" uri="{CE6537A1-D6FC-4f65-9D91-7224C49458BB}"/>
              </c:extLst>
            </c:dLbl>
            <c:dLbl>
              <c:idx val="15"/>
              <c:layout/>
              <c:tx>
                <c:rich>
                  <a:bodyPr/>
                  <a:lstStyle/>
                  <a:p>
                    <a:r>
                      <a:rPr lang="en-US"/>
                      <a:t> 27%</a:t>
                    </a:r>
                  </a:p>
                </c:rich>
              </c:tx>
              <c:showLegendKey val="0"/>
              <c:showVal val="1"/>
              <c:showCatName val="0"/>
              <c:showSerName val="0"/>
              <c:showPercent val="0"/>
              <c:showBubbleSize val="0"/>
              <c:extLst>
                <c:ext xmlns:c15="http://schemas.microsoft.com/office/drawing/2012/chart" uri="{CE6537A1-D6FC-4f65-9D91-7224C49458BB}"/>
              </c:extLst>
            </c:dLbl>
            <c:dLbl>
              <c:idx val="16"/>
              <c:layout/>
              <c:tx>
                <c:rich>
                  <a:bodyPr/>
                  <a:lstStyle/>
                  <a:p>
                    <a:r>
                      <a:rPr lang="en-US"/>
                      <a:t> 27%</a:t>
                    </a:r>
                  </a:p>
                </c:rich>
              </c:tx>
              <c:showLegendKey val="0"/>
              <c:showVal val="1"/>
              <c:showCatName val="0"/>
              <c:showSerName val="0"/>
              <c:showPercent val="0"/>
              <c:showBubbleSize val="0"/>
              <c:extLst>
                <c:ext xmlns:c15="http://schemas.microsoft.com/office/drawing/2012/chart" uri="{CE6537A1-D6FC-4f65-9D91-7224C49458BB}"/>
              </c:extLst>
            </c:dLbl>
            <c:dLbl>
              <c:idx val="17"/>
              <c:layout/>
              <c:tx>
                <c:rich>
                  <a:bodyPr/>
                  <a:lstStyle/>
                  <a:p>
                    <a:r>
                      <a:rPr lang="en-US"/>
                      <a:t> 23%</a:t>
                    </a:r>
                  </a:p>
                </c:rich>
              </c:tx>
              <c:showLegendKey val="0"/>
              <c:showVal val="1"/>
              <c:showCatName val="0"/>
              <c:showSerName val="0"/>
              <c:showPercent val="0"/>
              <c:showBubbleSize val="0"/>
              <c:extLst>
                <c:ext xmlns:c15="http://schemas.microsoft.com/office/drawing/2012/chart" uri="{CE6537A1-D6FC-4f65-9D91-7224C49458BB}"/>
              </c:extLst>
            </c:dLbl>
            <c:dLbl>
              <c:idx val="18"/>
              <c:layout/>
              <c:tx>
                <c:rich>
                  <a:bodyPr/>
                  <a:lstStyle/>
                  <a:p>
                    <a:r>
                      <a:rPr lang="en-US" sz="600"/>
                      <a:t> 23%</a:t>
                    </a:r>
                  </a:p>
                </c:rich>
              </c:tx>
              <c:showLegendKey val="0"/>
              <c:showVal val="1"/>
              <c:showCatName val="0"/>
              <c:showSerName val="0"/>
              <c:showPercent val="0"/>
              <c:showBubbleSize val="0"/>
              <c:extLst>
                <c:ext xmlns:c15="http://schemas.microsoft.com/office/drawing/2012/chart" uri="{CE6537A1-D6FC-4f65-9D91-7224C49458BB}"/>
              </c:extLst>
            </c:dLbl>
            <c:dLbl>
              <c:idx val="19"/>
              <c:layout/>
              <c:tx>
                <c:rich>
                  <a:bodyPr/>
                  <a:lstStyle/>
                  <a:p>
                    <a:r>
                      <a:rPr lang="en-US"/>
                      <a:t> 21%</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600">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'[Exhibit D - Ventra - Ridership Transition Data Set (Through 1-26) (2).xlsx]Cumulative Weekly View'!$A$3:$A$22</c:f>
              <c:numCache>
                <c:formatCode>m/d;@</c:formatCode>
                <c:ptCount val="20"/>
                <c:pt idx="0">
                  <c:v>41531</c:v>
                </c:pt>
                <c:pt idx="1">
                  <c:v>41538</c:v>
                </c:pt>
                <c:pt idx="2">
                  <c:v>41545</c:v>
                </c:pt>
                <c:pt idx="3">
                  <c:v>41552</c:v>
                </c:pt>
                <c:pt idx="4">
                  <c:v>41559</c:v>
                </c:pt>
                <c:pt idx="5">
                  <c:v>41566</c:v>
                </c:pt>
                <c:pt idx="6">
                  <c:v>41573</c:v>
                </c:pt>
                <c:pt idx="7">
                  <c:v>41580</c:v>
                </c:pt>
                <c:pt idx="8">
                  <c:v>41587</c:v>
                </c:pt>
                <c:pt idx="9">
                  <c:v>41594</c:v>
                </c:pt>
                <c:pt idx="10">
                  <c:v>41601</c:v>
                </c:pt>
                <c:pt idx="11">
                  <c:v>41608</c:v>
                </c:pt>
                <c:pt idx="12">
                  <c:v>41615</c:v>
                </c:pt>
                <c:pt idx="13">
                  <c:v>41622</c:v>
                </c:pt>
                <c:pt idx="14">
                  <c:v>41629</c:v>
                </c:pt>
                <c:pt idx="15">
                  <c:v>41636</c:v>
                </c:pt>
                <c:pt idx="16">
                  <c:v>41643</c:v>
                </c:pt>
                <c:pt idx="17">
                  <c:v>41650</c:v>
                </c:pt>
                <c:pt idx="18">
                  <c:v>41657</c:v>
                </c:pt>
                <c:pt idx="19">
                  <c:v>41664</c:v>
                </c:pt>
              </c:numCache>
            </c:numRef>
          </c:cat>
          <c:val>
            <c:numRef>
              <c:f>'[Exhibit D - Ventra - Ridership Transition Data Set (Through 1-26) (2).xlsx]Cumulative Weekly View'!$D$3:$D$22</c:f>
              <c:numCache>
                <c:formatCode>_(* #,##0_);_(* \(#,##0\);_(* "-"??_);_(@_)</c:formatCode>
                <c:ptCount val="20"/>
                <c:pt idx="0">
                  <c:v>6767850</c:v>
                </c:pt>
                <c:pt idx="1">
                  <c:v>6757472</c:v>
                </c:pt>
                <c:pt idx="2">
                  <c:v>6367259</c:v>
                </c:pt>
                <c:pt idx="3">
                  <c:v>5834740</c:v>
                </c:pt>
                <c:pt idx="4">
                  <c:v>5229595</c:v>
                </c:pt>
                <c:pt idx="5">
                  <c:v>4693595</c:v>
                </c:pt>
                <c:pt idx="6">
                  <c:v>4344461</c:v>
                </c:pt>
                <c:pt idx="7">
                  <c:v>3900280</c:v>
                </c:pt>
                <c:pt idx="8">
                  <c:v>3567679</c:v>
                </c:pt>
                <c:pt idx="9">
                  <c:v>3048061</c:v>
                </c:pt>
                <c:pt idx="10">
                  <c:v>2914747</c:v>
                </c:pt>
                <c:pt idx="11">
                  <c:v>2149337</c:v>
                </c:pt>
                <c:pt idx="12">
                  <c:v>2551604</c:v>
                </c:pt>
                <c:pt idx="13">
                  <c:v>2217246</c:v>
                </c:pt>
                <c:pt idx="14">
                  <c:v>2095324</c:v>
                </c:pt>
                <c:pt idx="15">
                  <c:v>1360544</c:v>
                </c:pt>
                <c:pt idx="16">
                  <c:v>1486284</c:v>
                </c:pt>
                <c:pt idx="17">
                  <c:v>1441116</c:v>
                </c:pt>
                <c:pt idx="18">
                  <c:v>1911948</c:v>
                </c:pt>
                <c:pt idx="19">
                  <c:v>1561391</c:v>
                </c:pt>
              </c:numCache>
            </c:numRef>
          </c:val>
        </c:ser>
        <c:dLbls>
          <c:showLegendKey val="0"/>
          <c:showVal val="0"/>
          <c:showCatName val="0"/>
          <c:showSerName val="0"/>
          <c:showPercent val="0"/>
          <c:showBubbleSize val="0"/>
        </c:dLbls>
        <c:gapWidth val="75"/>
        <c:overlap val="100"/>
        <c:axId val="114433024"/>
        <c:axId val="114434816"/>
      </c:barChart>
      <c:catAx>
        <c:axId val="114433024"/>
        <c:scaling>
          <c:orientation val="minMax"/>
        </c:scaling>
        <c:delete val="0"/>
        <c:axPos val="b"/>
        <c:numFmt formatCode="m/d;@" sourceLinked="1"/>
        <c:majorTickMark val="out"/>
        <c:minorTickMark val="none"/>
        <c:tickLblPos val="nextTo"/>
        <c:spPr>
          <a:ln>
            <a:solidFill>
              <a:schemeClr val="bg1">
                <a:lumMod val="50000"/>
              </a:schemeClr>
            </a:solidFill>
          </a:ln>
        </c:spPr>
        <c:txPr>
          <a:bodyPr/>
          <a:lstStyle/>
          <a:p>
            <a:pPr>
              <a:defRPr sz="700"/>
            </a:pPr>
            <a:endParaRPr lang="en-US"/>
          </a:p>
        </c:txPr>
        <c:crossAx val="114434816"/>
        <c:crosses val="autoZero"/>
        <c:auto val="0"/>
        <c:lblAlgn val="ctr"/>
        <c:lblOffset val="100"/>
        <c:noMultiLvlLbl val="0"/>
      </c:catAx>
      <c:valAx>
        <c:axId val="114434816"/>
        <c:scaling>
          <c:orientation val="minMax"/>
        </c:scaling>
        <c:delete val="0"/>
        <c:axPos val="l"/>
        <c:majorGridlines>
          <c:spPr>
            <a:ln>
              <a:solidFill>
                <a:schemeClr val="bg1">
                  <a:lumMod val="75000"/>
                </a:schemeClr>
              </a:solidFill>
            </a:ln>
          </c:spPr>
        </c:majorGridlines>
        <c:numFmt formatCode="_(* #,##0_);_(* \(#,##0\);_(* &quot;-&quot;??_);_(@_)" sourceLinked="1"/>
        <c:majorTickMark val="none"/>
        <c:minorTickMark val="none"/>
        <c:tickLblPos val="nextTo"/>
        <c:txPr>
          <a:bodyPr/>
          <a:lstStyle/>
          <a:p>
            <a:pPr>
              <a:defRPr sz="700"/>
            </a:pPr>
            <a:endParaRPr lang="en-US"/>
          </a:p>
        </c:txPr>
        <c:crossAx val="114433024"/>
        <c:crosses val="autoZero"/>
        <c:crossBetween val="between"/>
        <c:majorUnit val="1500000"/>
      </c:valAx>
      <c:spPr>
        <a:ln>
          <a:solidFill>
            <a:schemeClr val="bg1">
              <a:lumMod val="50000"/>
            </a:schemeClr>
          </a:solidFill>
        </a:ln>
      </c:spPr>
    </c:plotArea>
    <c:legend>
      <c:legendPos val="b"/>
      <c:layout>
        <c:manualLayout>
          <c:xMode val="edge"/>
          <c:yMode val="edge"/>
          <c:x val="0.3625597281109092"/>
          <c:y val="0.91319383688150091"/>
          <c:w val="0.27488054377818155"/>
          <c:h val="8.6806163118499077E-2"/>
        </c:manualLayout>
      </c:layout>
      <c:overlay val="0"/>
      <c:txPr>
        <a:bodyPr/>
        <a:lstStyle/>
        <a:p>
          <a:pPr>
            <a:defRPr sz="800"/>
          </a:pPr>
          <a:endParaRPr lang="en-US"/>
        </a:p>
      </c:txPr>
    </c:legend>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b="1" i="0" baseline="0">
                <a:effectLst/>
              </a:rPr>
              <a:t>Bus Tap Times</a:t>
            </a:r>
          </a:p>
          <a:p>
            <a:pPr>
              <a:defRPr sz="1000"/>
            </a:pPr>
            <a:r>
              <a:rPr lang="en-US" sz="1000" b="1" i="0" baseline="0">
                <a:effectLst/>
              </a:rPr>
              <a:t>Pre and Post Software Upgrades</a:t>
            </a:r>
            <a:endParaRPr lang="en-US" sz="1000">
              <a:effectLst/>
            </a:endParaRPr>
          </a:p>
        </c:rich>
      </c:tx>
      <c:layout/>
      <c:overlay val="0"/>
    </c:title>
    <c:autoTitleDeleted val="0"/>
    <c:plotArea>
      <c:layout>
        <c:manualLayout>
          <c:layoutTarget val="inner"/>
          <c:xMode val="edge"/>
          <c:yMode val="edge"/>
          <c:x val="7.8672016959418542E-2"/>
          <c:y val="0.23275008975623446"/>
          <c:w val="0.89387105457971605"/>
          <c:h val="0.54487357830271221"/>
        </c:manualLayout>
      </c:layout>
      <c:barChart>
        <c:barDir val="col"/>
        <c:grouping val="percentStacked"/>
        <c:varyColors val="0"/>
        <c:ser>
          <c:idx val="4"/>
          <c:order val="0"/>
          <c:tx>
            <c:strRef>
              <c:f>Layout!$F$6</c:f>
              <c:strCache>
                <c:ptCount val="1"/>
                <c:pt idx="0">
                  <c:v>≤ 2.5 Sec. </c:v>
                </c:pt>
              </c:strCache>
            </c:strRef>
          </c:tx>
          <c:spPr>
            <a:solidFill>
              <a:schemeClr val="accent1"/>
            </a:solidFill>
            <a:ln>
              <a:solidFill>
                <a:schemeClr val="accent1"/>
              </a:solidFill>
            </a:ln>
          </c:spPr>
          <c:invertIfNegative val="0"/>
          <c:dLbls>
            <c:numFmt formatCode="0.00%" sourceLinked="0"/>
            <c:spPr>
              <a:noFill/>
              <a:ln>
                <a:noFill/>
              </a:ln>
              <a:effectLst/>
            </c:spPr>
            <c:txPr>
              <a:bodyPr wrap="square" lIns="38100" tIns="19050" rIns="38100" bIns="19050" anchor="ctr">
                <a:spAutoFit/>
              </a:bodyPr>
              <a:lstStyle/>
              <a:p>
                <a:pPr>
                  <a:defRPr sz="500" b="0"/>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ext>
            </c:extLst>
          </c:dLbls>
          <c:cat>
            <c:strRef>
              <c:f>(Layout!$A$7,Layout!$A$65:$A$78)</c:f>
              <c:strCache>
                <c:ptCount val="15"/>
                <c:pt idx="0">
                  <c:v>10/20 - 10/27
(Pre Upgrades)</c:v>
                </c:pt>
                <c:pt idx="1">
                  <c:v>1/15</c:v>
                </c:pt>
                <c:pt idx="2">
                  <c:v>1/16</c:v>
                </c:pt>
                <c:pt idx="3">
                  <c:v>1/17</c:v>
                </c:pt>
                <c:pt idx="4">
                  <c:v>1/18</c:v>
                </c:pt>
                <c:pt idx="5">
                  <c:v>1/19</c:v>
                </c:pt>
                <c:pt idx="6">
                  <c:v>1/20</c:v>
                </c:pt>
                <c:pt idx="7">
                  <c:v>1/21</c:v>
                </c:pt>
                <c:pt idx="8">
                  <c:v>1/22</c:v>
                </c:pt>
                <c:pt idx="9">
                  <c:v>1/23</c:v>
                </c:pt>
                <c:pt idx="10">
                  <c:v>1/24</c:v>
                </c:pt>
                <c:pt idx="11">
                  <c:v>1/25</c:v>
                </c:pt>
                <c:pt idx="12">
                  <c:v>1/26</c:v>
                </c:pt>
                <c:pt idx="13">
                  <c:v>1/27</c:v>
                </c:pt>
                <c:pt idx="14">
                  <c:v>1/28</c:v>
                </c:pt>
              </c:strCache>
              <c:extLst>
                <c:ext xmlns:c15="http://schemas.microsoft.com/office/drawing/2012/chart" uri="{02D57815-91ED-43cb-92C2-25804820EDAC}">
                  <c15:fullRef>
                    <c15:sqref>Layout!$A$7:$A$79</c15:sqref>
                  </c15:fullRef>
                </c:ext>
              </c:extLst>
            </c:strRef>
          </c:cat>
          <c:val>
            <c:numRef>
              <c:f>(Layout!$F$7,Layout!$F$65:$F$78)</c:f>
              <c:numCache>
                <c:formatCode>0.00%</c:formatCode>
                <c:ptCount val="15"/>
                <c:pt idx="0" formatCode="0.0%">
                  <c:v>0.83899999999999997</c:v>
                </c:pt>
                <c:pt idx="1">
                  <c:v>0.9994797751698723</c:v>
                </c:pt>
                <c:pt idx="2">
                  <c:v>0.99945786738396503</c:v>
                </c:pt>
                <c:pt idx="3">
                  <c:v>0.99944313906583182</c:v>
                </c:pt>
                <c:pt idx="4">
                  <c:v>0.99946655286461106</c:v>
                </c:pt>
                <c:pt idx="5">
                  <c:v>0.9994110404951253</c:v>
                </c:pt>
                <c:pt idx="6">
                  <c:v>0.99946906671348013</c:v>
                </c:pt>
                <c:pt idx="7">
                  <c:v>0.9994442418519327</c:v>
                </c:pt>
                <c:pt idx="8">
                  <c:v>0.99942984303009996</c:v>
                </c:pt>
                <c:pt idx="9">
                  <c:v>0.99945100930436404</c:v>
                </c:pt>
                <c:pt idx="10">
                  <c:v>0.99951584994757892</c:v>
                </c:pt>
                <c:pt idx="11">
                  <c:v>0.99945185639643364</c:v>
                </c:pt>
                <c:pt idx="12">
                  <c:v>0.99947064967022914</c:v>
                </c:pt>
                <c:pt idx="13">
                  <c:v>0.99953184097377079</c:v>
                </c:pt>
                <c:pt idx="14">
                  <c:v>0.99940996570278717</c:v>
                </c:pt>
              </c:numCache>
              <c:extLst>
                <c:ext xmlns:c15="http://schemas.microsoft.com/office/drawing/2012/chart" uri="{02D57815-91ED-43cb-92C2-25804820EDAC}">
                  <c15:fullRef>
                    <c15:sqref>Layout!$F$7:$F$79</c15:sqref>
                  </c15:fullRef>
                </c:ext>
              </c:extLst>
            </c:numRef>
          </c:val>
        </c:ser>
        <c:ser>
          <c:idx val="5"/>
          <c:order val="1"/>
          <c:tx>
            <c:strRef>
              <c:f>Layout!$G$6</c:f>
              <c:strCache>
                <c:ptCount val="1"/>
                <c:pt idx="0">
                  <c:v>&gt; 2.5 Sec. </c:v>
                </c:pt>
              </c:strCache>
            </c:strRef>
          </c:tx>
          <c:spPr>
            <a:solidFill>
              <a:schemeClr val="accent2"/>
            </a:solidFill>
            <a:ln>
              <a:solidFill>
                <a:schemeClr val="accent2"/>
              </a:solidFill>
            </a:ln>
          </c:spPr>
          <c:invertIfNegative val="0"/>
          <c:dLbls>
            <c:dLbl>
              <c:idx val="0"/>
              <c:layout>
                <c:manualLayout>
                  <c:x val="-1.964364666117732E-17"/>
                  <c:y val="-1.9732868950309398E-4"/>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500"/>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(Layout!$A$7,Layout!$A$65:$A$78)</c:f>
              <c:strCache>
                <c:ptCount val="15"/>
                <c:pt idx="0">
                  <c:v>10/20 - 10/27
(Pre Upgrades)</c:v>
                </c:pt>
                <c:pt idx="1">
                  <c:v>1/15</c:v>
                </c:pt>
                <c:pt idx="2">
                  <c:v>1/16</c:v>
                </c:pt>
                <c:pt idx="3">
                  <c:v>1/17</c:v>
                </c:pt>
                <c:pt idx="4">
                  <c:v>1/18</c:v>
                </c:pt>
                <c:pt idx="5">
                  <c:v>1/19</c:v>
                </c:pt>
                <c:pt idx="6">
                  <c:v>1/20</c:v>
                </c:pt>
                <c:pt idx="7">
                  <c:v>1/21</c:v>
                </c:pt>
                <c:pt idx="8">
                  <c:v>1/22</c:v>
                </c:pt>
                <c:pt idx="9">
                  <c:v>1/23</c:v>
                </c:pt>
                <c:pt idx="10">
                  <c:v>1/24</c:v>
                </c:pt>
                <c:pt idx="11">
                  <c:v>1/25</c:v>
                </c:pt>
                <c:pt idx="12">
                  <c:v>1/26</c:v>
                </c:pt>
                <c:pt idx="13">
                  <c:v>1/27</c:v>
                </c:pt>
                <c:pt idx="14">
                  <c:v>1/28</c:v>
                </c:pt>
              </c:strCache>
              <c:extLst>
                <c:ext xmlns:c15="http://schemas.microsoft.com/office/drawing/2012/chart" uri="{02D57815-91ED-43cb-92C2-25804820EDAC}">
                  <c15:fullRef>
                    <c15:sqref>Layout!$A$7:$A$79</c15:sqref>
                  </c15:fullRef>
                </c:ext>
              </c:extLst>
            </c:strRef>
          </c:cat>
          <c:val>
            <c:numRef>
              <c:f>(Layout!$G$7,Layout!$G$65:$G$78)</c:f>
              <c:numCache>
                <c:formatCode>0.00%</c:formatCode>
                <c:ptCount val="15"/>
                <c:pt idx="0" formatCode="0.0%">
                  <c:v>0.161</c:v>
                </c:pt>
                <c:pt idx="1">
                  <c:v>5.2022483012770216E-4</c:v>
                </c:pt>
                <c:pt idx="2">
                  <c:v>5.42132616034946E-4</c:v>
                </c:pt>
                <c:pt idx="3">
                  <c:v>5.5686093416817202E-4</c:v>
                </c:pt>
                <c:pt idx="4">
                  <c:v>5.3344713538888298E-4</c:v>
                </c:pt>
                <c:pt idx="5">
                  <c:v>5.3093328651986071E-4</c:v>
                </c:pt>
                <c:pt idx="6">
                  <c:v>5.7015696990001506E-4</c:v>
                </c:pt>
                <c:pt idx="7">
                  <c:v>5.5575814806734707E-4</c:v>
                </c:pt>
                <c:pt idx="8">
                  <c:v>5.7015696990001506E-4</c:v>
                </c:pt>
                <c:pt idx="9">
                  <c:v>5.4899069563607767E-4</c:v>
                </c:pt>
                <c:pt idx="10">
                  <c:v>4.8415005242117643E-4</c:v>
                </c:pt>
                <c:pt idx="11">
                  <c:v>5.4814360356645361E-4</c:v>
                </c:pt>
                <c:pt idx="12">
                  <c:v>5.2935032977094866E-4</c:v>
                </c:pt>
                <c:pt idx="13">
                  <c:v>4.6815902622922544E-4</c:v>
                </c:pt>
                <c:pt idx="14">
                  <c:v>5.9003429721273437E-4</c:v>
                </c:pt>
              </c:numCache>
              <c:extLst>
                <c:ext xmlns:c15="http://schemas.microsoft.com/office/drawing/2012/chart" uri="{02D57815-91ED-43cb-92C2-25804820EDAC}">
                  <c15:fullRef>
                    <c15:sqref>Layout!$G$7:$G$79</c15:sqref>
                  </c15:fullRef>
                </c:ext>
              </c:extLst>
            </c:numRef>
          </c:val>
        </c:ser>
        <c:dLbls>
          <c:showLegendKey val="0"/>
          <c:showVal val="0"/>
          <c:showCatName val="0"/>
          <c:showSerName val="0"/>
          <c:showPercent val="0"/>
          <c:showBubbleSize val="0"/>
        </c:dLbls>
        <c:gapWidth val="55"/>
        <c:overlap val="100"/>
        <c:axId val="116370816"/>
        <c:axId val="116380800"/>
        <c:extLst>
          <c:ext xmlns:c15="http://schemas.microsoft.com/office/drawing/2012/chart" uri="{02D57815-91ED-43cb-92C2-25804820EDAC}">
            <c15:filteredBarSeries>
              <c15:ser>
                <c:idx val="2"/>
                <c:order val="0"/>
                <c:tx>
                  <c:strRef>
                    <c:extLst>
                      <c:ext uri="{02D57815-91ED-43cb-92C2-25804820EDAC}">
                        <c15:formulaRef>
                          <c15:sqref>Layout!$B$6</c15:sqref>
                        </c15:formulaRef>
                      </c:ext>
                    </c:extLst>
                    <c:strCache>
                      <c:ptCount val="1"/>
                      <c:pt idx="0">
                        <c:v>Total Taps</c:v>
                      </c:pt>
                    </c:strCache>
                  </c:strRef>
                </c:tx>
                <c:spPr>
                  <a:solidFill>
                    <a:schemeClr val="accent1"/>
                  </a:solidFill>
                </c:spPr>
                <c:invertIfNegative val="0"/>
                <c:cat>
                  <c:strRef>
                    <c:extLst>
                      <c:ext uri="{02D57815-91ED-43cb-92C2-25804820EDAC}">
                        <c15:fullRef>
                          <c15:sqref>Layout!$A$7:$A$79</c15:sqref>
                        </c15:fullRef>
                        <c15:formulaRef>
                          <c15:sqref>(Layout!$A$7,Layout!$A$65:$A$78)</c15:sqref>
                        </c15:formulaRef>
                      </c:ext>
                    </c:extLst>
                    <c:strCache>
                      <c:ptCount val="15"/>
                      <c:pt idx="0">
                        <c:v>10/20 - 10/27
(Pre Upgrades)</c:v>
                      </c:pt>
                      <c:pt idx="1">
                        <c:v>1/15</c:v>
                      </c:pt>
                      <c:pt idx="2">
                        <c:v>1/16</c:v>
                      </c:pt>
                      <c:pt idx="3">
                        <c:v>1/17</c:v>
                      </c:pt>
                      <c:pt idx="4">
                        <c:v>1/18</c:v>
                      </c:pt>
                      <c:pt idx="5">
                        <c:v>1/19</c:v>
                      </c:pt>
                      <c:pt idx="6">
                        <c:v>1/20</c:v>
                      </c:pt>
                      <c:pt idx="7">
                        <c:v>1/21</c:v>
                      </c:pt>
                      <c:pt idx="8">
                        <c:v>1/22</c:v>
                      </c:pt>
                      <c:pt idx="9">
                        <c:v>1/23</c:v>
                      </c:pt>
                      <c:pt idx="10">
                        <c:v>1/24</c:v>
                      </c:pt>
                      <c:pt idx="11">
                        <c:v>1/25</c:v>
                      </c:pt>
                      <c:pt idx="12">
                        <c:v>1/26</c:v>
                      </c:pt>
                      <c:pt idx="13">
                        <c:v>1/27</c:v>
                      </c:pt>
                      <c:pt idx="14">
                        <c:v>1/28</c:v>
                      </c:pt>
                    </c:strCache>
                  </c:strRef>
                </c:cat>
                <c:val>
                  <c:numRef>
                    <c:extLst>
                      <c:ext uri="{02D57815-91ED-43cb-92C2-25804820EDAC}">
                        <c15:fullRef>
                          <c15:sqref>Layout!$B$7:$B$79</c15:sqref>
                        </c15:fullRef>
                        <c15:formulaRef>
                          <c15:sqref>(Layout!$B$7,Layout!$B$65:$B$78)</c15:sqref>
                        </c15:formulaRef>
                      </c:ext>
                    </c:extLst>
                    <c:numCache>
                      <c:formatCode>#,##0</c:formatCode>
                      <c:ptCount val="15"/>
                      <c:pt idx="1">
                        <c:v>688164</c:v>
                      </c:pt>
                      <c:pt idx="2">
                        <c:v>673267</c:v>
                      </c:pt>
                      <c:pt idx="3">
                        <c:v>662643</c:v>
                      </c:pt>
                      <c:pt idx="4">
                        <c:v>384293</c:v>
                      </c:pt>
                      <c:pt idx="5">
                        <c:v>300530</c:v>
                      </c:pt>
                      <c:pt idx="6">
                        <c:v>467102</c:v>
                      </c:pt>
                      <c:pt idx="7">
                        <c:v>627971</c:v>
                      </c:pt>
                      <c:pt idx="8">
                        <c:v>650698</c:v>
                      </c:pt>
                      <c:pt idx="9">
                        <c:v>632069</c:v>
                      </c:pt>
                      <c:pt idx="10">
                        <c:v>586595</c:v>
                      </c:pt>
                      <c:pt idx="11">
                        <c:v>397706</c:v>
                      </c:pt>
                      <c:pt idx="12">
                        <c:v>279588</c:v>
                      </c:pt>
                      <c:pt idx="13">
                        <c:v>405845</c:v>
                      </c:pt>
                      <c:pt idx="14">
                        <c:v>425399</c:v>
                      </c:pt>
                    </c:numCache>
                  </c:numRef>
                </c:val>
              </c15:ser>
            </c15:filteredBarSeries>
            <c15:filteredBarSeries>
              <c15:ser>
                <c:idx val="3"/>
                <c:order val="1"/>
                <c:tx>
                  <c:strRef>
                    <c:extLst xmlns:c15="http://schemas.microsoft.com/office/drawing/2012/chart">
                      <c:ext xmlns:c15="http://schemas.microsoft.com/office/drawing/2012/chart" uri="{02D57815-91ED-43cb-92C2-25804820EDAC}">
                        <c15:formulaRef>
                          <c15:sqref>Layout!$C$6</c15:sqref>
                        </c15:formulaRef>
                      </c:ext>
                    </c:extLst>
                    <c:strCache>
                      <c:ptCount val="1"/>
                      <c:pt idx="0">
                        <c:v>≤ 0.5 Sec.</c:v>
                      </c:pt>
                    </c:strCache>
                  </c:strRef>
                </c:tx>
                <c:spPr>
                  <a:solidFill>
                    <a:schemeClr val="accent1"/>
                  </a:solidFill>
                  <a:ln>
                    <a:solidFill>
                      <a:schemeClr val="accent1"/>
                    </a:solidFill>
                  </a:ln>
                </c:spPr>
                <c:invertIfNegative val="0"/>
                <c:dPt>
                  <c:idx val="0"/>
                  <c:invertIfNegative val="0"/>
                  <c:bubble3D val="0"/>
                </c:dPt>
                <c:dLbls>
                  <c:spPr>
                    <a:noFill/>
                    <a:ln>
                      <a:noFill/>
                    </a:ln>
                    <a:effectLst/>
                  </c:spPr>
                  <c:txPr>
                    <a:bodyPr wrap="square" lIns="38100" tIns="19050" rIns="38100" bIns="19050" anchor="ctr">
                      <a:spAutoFit/>
                    </a:bodyPr>
                    <a:lstStyle/>
                    <a:p>
                      <a:pPr>
                        <a:defRPr sz="500"/>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ext>
                  </c:extLst>
                </c:dLbls>
                <c:cat>
                  <c:strRef>
                    <c:extLst>
                      <c:ext xmlns:c15="http://schemas.microsoft.com/office/drawing/2012/chart" uri="{02D57815-91ED-43cb-92C2-25804820EDAC}">
                        <c15:fullRef>
                          <c15:sqref>Layout!$A$7:$A$79</c15:sqref>
                        </c15:fullRef>
                        <c15:formulaRef>
                          <c15:sqref>(Layout!$A$7,Layout!$A$65:$A$78)</c15:sqref>
                        </c15:formulaRef>
                      </c:ext>
                    </c:extLst>
                    <c:strCache>
                      <c:ptCount val="15"/>
                      <c:pt idx="0">
                        <c:v>10/20 - 10/27
(Pre Upgrades)</c:v>
                      </c:pt>
                      <c:pt idx="1">
                        <c:v>1/15</c:v>
                      </c:pt>
                      <c:pt idx="2">
                        <c:v>1/16</c:v>
                      </c:pt>
                      <c:pt idx="3">
                        <c:v>1/17</c:v>
                      </c:pt>
                      <c:pt idx="4">
                        <c:v>1/18</c:v>
                      </c:pt>
                      <c:pt idx="5">
                        <c:v>1/19</c:v>
                      </c:pt>
                      <c:pt idx="6">
                        <c:v>1/20</c:v>
                      </c:pt>
                      <c:pt idx="7">
                        <c:v>1/21</c:v>
                      </c:pt>
                      <c:pt idx="8">
                        <c:v>1/22</c:v>
                      </c:pt>
                      <c:pt idx="9">
                        <c:v>1/23</c:v>
                      </c:pt>
                      <c:pt idx="10">
                        <c:v>1/24</c:v>
                      </c:pt>
                      <c:pt idx="11">
                        <c:v>1/25</c:v>
                      </c:pt>
                      <c:pt idx="12">
                        <c:v>1/26</c:v>
                      </c:pt>
                      <c:pt idx="13">
                        <c:v>1/27</c:v>
                      </c:pt>
                      <c:pt idx="14">
                        <c:v>1/28</c:v>
                      </c:pt>
                    </c:strCache>
                  </c:strRef>
                </c:cat>
                <c:val>
                  <c:numRef>
                    <c:extLst>
                      <c:ext xmlns:c15="http://schemas.microsoft.com/office/drawing/2012/chart" uri="{02D57815-91ED-43cb-92C2-25804820EDAC}">
                        <c15:fullRef>
                          <c15:sqref>Layout!$C$7:$C$79</c15:sqref>
                        </c15:fullRef>
                        <c15:formulaRef>
                          <c15:sqref>(Layout!$C$7,Layout!$C$65:$C$78)</c15:sqref>
                        </c15:formulaRef>
                      </c:ext>
                    </c:extLst>
                    <c:numCache>
                      <c:formatCode>0.0%</c:formatCode>
                      <c:ptCount val="15"/>
                      <c:pt idx="1">
                        <c:v>0.62421021733191506</c:v>
                      </c:pt>
                      <c:pt idx="2">
                        <c:v>0.64043834021272394</c:v>
                      </c:pt>
                      <c:pt idx="3">
                        <c:v>0.61464166979806623</c:v>
                      </c:pt>
                      <c:pt idx="4">
                        <c:v>0.59637047773443697</c:v>
                      </c:pt>
                      <c:pt idx="5">
                        <c:v>0.600016637274149</c:v>
                      </c:pt>
                      <c:pt idx="6">
                        <c:v>0.60419351661949638</c:v>
                      </c:pt>
                      <c:pt idx="7">
                        <c:v>0.63464873377910769</c:v>
                      </c:pt>
                      <c:pt idx="8">
                        <c:v>0.64815628755582466</c:v>
                      </c:pt>
                      <c:pt idx="9">
                        <c:v>0.63881000333824312</c:v>
                      </c:pt>
                      <c:pt idx="10">
                        <c:v>0.63847970064524928</c:v>
                      </c:pt>
                      <c:pt idx="11">
                        <c:v>0.6202798046798389</c:v>
                      </c:pt>
                      <c:pt idx="12">
                        <c:v>0.60940026038313522</c:v>
                      </c:pt>
                      <c:pt idx="13">
                        <c:v>0.63359410612425926</c:v>
                      </c:pt>
                      <c:pt idx="14">
                        <c:v>0.6390330019581616</c:v>
                      </c:pt>
                    </c:numCache>
                  </c:numRef>
                </c:val>
                <c:extLst xmlns:c15="http://schemas.microsoft.com/office/drawing/2012/chart"/>
              </c15:ser>
            </c15:filteredBarSeries>
            <c15:filteredBarSeries>
              <c15:ser>
                <c:idx val="0"/>
                <c:order val="2"/>
                <c:tx>
                  <c:strRef>
                    <c:extLst xmlns:c15="http://schemas.microsoft.com/office/drawing/2012/chart">
                      <c:ext xmlns:c15="http://schemas.microsoft.com/office/drawing/2012/chart" uri="{02D57815-91ED-43cb-92C2-25804820EDAC}">
                        <c15:formulaRef>
                          <c15:sqref>Layout!$D$6</c15:sqref>
                        </c15:formulaRef>
                      </c:ext>
                    </c:extLst>
                    <c:strCache>
                      <c:ptCount val="1"/>
                      <c:pt idx="0">
                        <c:v>0.6 Sec. - 1.0 Sec. </c:v>
                      </c:pt>
                    </c:strCache>
                  </c:strRef>
                </c:tx>
                <c:spPr>
                  <a:solidFill>
                    <a:schemeClr val="accent2"/>
                  </a:solidFill>
                  <a:ln>
                    <a:solidFill>
                      <a:schemeClr val="accent2"/>
                    </a:solidFill>
                  </a:ln>
                </c:spPr>
                <c:invertIfNegative val="0"/>
                <c:dLbls>
                  <c:spPr>
                    <a:noFill/>
                    <a:ln>
                      <a:noFill/>
                    </a:ln>
                    <a:effectLst/>
                  </c:spPr>
                  <c:txPr>
                    <a:bodyPr wrap="square" lIns="38100" tIns="19050" rIns="38100" bIns="19050" anchor="ctr">
                      <a:spAutoFit/>
                    </a:bodyPr>
                    <a:lstStyle/>
                    <a:p>
                      <a:pPr>
                        <a:defRPr sz="500"/>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ext>
                  </c:extLst>
                </c:dLbls>
                <c:cat>
                  <c:strRef>
                    <c:extLst>
                      <c:ext xmlns:c15="http://schemas.microsoft.com/office/drawing/2012/chart" uri="{02D57815-91ED-43cb-92C2-25804820EDAC}">
                        <c15:fullRef>
                          <c15:sqref>Layout!$A$7:$A$79</c15:sqref>
                        </c15:fullRef>
                        <c15:formulaRef>
                          <c15:sqref>(Layout!$A$7,Layout!$A$65:$A$78)</c15:sqref>
                        </c15:formulaRef>
                      </c:ext>
                    </c:extLst>
                    <c:strCache>
                      <c:ptCount val="15"/>
                      <c:pt idx="0">
                        <c:v>10/20 - 10/27
(Pre Upgrades)</c:v>
                      </c:pt>
                      <c:pt idx="1">
                        <c:v>1/15</c:v>
                      </c:pt>
                      <c:pt idx="2">
                        <c:v>1/16</c:v>
                      </c:pt>
                      <c:pt idx="3">
                        <c:v>1/17</c:v>
                      </c:pt>
                      <c:pt idx="4">
                        <c:v>1/18</c:v>
                      </c:pt>
                      <c:pt idx="5">
                        <c:v>1/19</c:v>
                      </c:pt>
                      <c:pt idx="6">
                        <c:v>1/20</c:v>
                      </c:pt>
                      <c:pt idx="7">
                        <c:v>1/21</c:v>
                      </c:pt>
                      <c:pt idx="8">
                        <c:v>1/22</c:v>
                      </c:pt>
                      <c:pt idx="9">
                        <c:v>1/23</c:v>
                      </c:pt>
                      <c:pt idx="10">
                        <c:v>1/24</c:v>
                      </c:pt>
                      <c:pt idx="11">
                        <c:v>1/25</c:v>
                      </c:pt>
                      <c:pt idx="12">
                        <c:v>1/26</c:v>
                      </c:pt>
                      <c:pt idx="13">
                        <c:v>1/27</c:v>
                      </c:pt>
                      <c:pt idx="14">
                        <c:v>1/28</c:v>
                      </c:pt>
                    </c:strCache>
                  </c:strRef>
                </c:cat>
                <c:val>
                  <c:numRef>
                    <c:extLst>
                      <c:ext xmlns:c15="http://schemas.microsoft.com/office/drawing/2012/chart" uri="{02D57815-91ED-43cb-92C2-25804820EDAC}">
                        <c15:fullRef>
                          <c15:sqref>Layout!$D$7:$D$79</c15:sqref>
                        </c15:fullRef>
                        <c15:formulaRef>
                          <c15:sqref>(Layout!$D$7,Layout!$D$65:$D$78)</c15:sqref>
                        </c15:formulaRef>
                      </c:ext>
                    </c:extLst>
                    <c:numCache>
                      <c:formatCode>0.0%</c:formatCode>
                      <c:ptCount val="15"/>
                      <c:pt idx="1">
                        <c:v>4.1692096651379615E-2</c:v>
                      </c:pt>
                      <c:pt idx="2">
                        <c:v>3.5153958236479731E-2</c:v>
                      </c:pt>
                      <c:pt idx="3">
                        <c:v>2.8964314117858336E-2</c:v>
                      </c:pt>
                      <c:pt idx="4">
                        <c:v>6.1276161678719104E-2</c:v>
                      </c:pt>
                      <c:pt idx="5">
                        <c:v>6.4619172794729313E-2</c:v>
                      </c:pt>
                      <c:pt idx="6">
                        <c:v>5.4416380148233148E-2</c:v>
                      </c:pt>
                      <c:pt idx="7">
                        <c:v>3.6141796356838132E-2</c:v>
                      </c:pt>
                      <c:pt idx="8">
                        <c:v>3.0499555861551748E-2</c:v>
                      </c:pt>
                      <c:pt idx="9">
                        <c:v>3.3504253491311864E-2</c:v>
                      </c:pt>
                      <c:pt idx="10">
                        <c:v>4.3582028486434422E-2</c:v>
                      </c:pt>
                      <c:pt idx="11">
                        <c:v>6.0859026517075428E-2</c:v>
                      </c:pt>
                      <c:pt idx="12">
                        <c:v>6.7542240725639149E-2</c:v>
                      </c:pt>
                      <c:pt idx="13">
                        <c:v>5.3219825302763368E-2</c:v>
                      </c:pt>
                      <c:pt idx="14">
                        <c:v>5.488729404629536E-2</c:v>
                      </c:pt>
                    </c:numCache>
                  </c:numRef>
                </c:val>
              </c15:ser>
            </c15:filteredBarSeries>
            <c15:filteredBarSeries>
              <c15:ser>
                <c:idx val="1"/>
                <c:order val="3"/>
                <c:tx>
                  <c:strRef>
                    <c:extLst xmlns:c15="http://schemas.microsoft.com/office/drawing/2012/chart">
                      <c:ext xmlns:c15="http://schemas.microsoft.com/office/drawing/2012/chart" uri="{02D57815-91ED-43cb-92C2-25804820EDAC}">
                        <c15:formulaRef>
                          <c15:sqref>Layout!$E$6</c15:sqref>
                        </c15:formulaRef>
                      </c:ext>
                    </c:extLst>
                    <c:strCache>
                      <c:ptCount val="1"/>
                      <c:pt idx="0">
                        <c:v>1.1 Sec. - 2.5 Sec. </c:v>
                      </c:pt>
                    </c:strCache>
                  </c:strRef>
                </c:tx>
                <c:spPr>
                  <a:solidFill>
                    <a:schemeClr val="accent3"/>
                  </a:solidFill>
                  <a:ln>
                    <a:solidFill>
                      <a:schemeClr val="accent3"/>
                    </a:solidFill>
                  </a:ln>
                </c:spPr>
                <c:invertIfNegative val="0"/>
                <c:dLbls>
                  <c:spPr>
                    <a:noFill/>
                    <a:ln>
                      <a:noFill/>
                    </a:ln>
                    <a:effectLst/>
                  </c:spPr>
                  <c:txPr>
                    <a:bodyPr wrap="square" lIns="38100" tIns="19050" rIns="38100" bIns="19050" anchor="ctr">
                      <a:spAutoFit/>
                    </a:bodyPr>
                    <a:lstStyle/>
                    <a:p>
                      <a:pPr>
                        <a:defRPr sz="500"/>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ext>
                  </c:extLst>
                </c:dLbls>
                <c:cat>
                  <c:strRef>
                    <c:extLst>
                      <c:ext xmlns:c15="http://schemas.microsoft.com/office/drawing/2012/chart" uri="{02D57815-91ED-43cb-92C2-25804820EDAC}">
                        <c15:fullRef>
                          <c15:sqref>Layout!$A$7:$A$79</c15:sqref>
                        </c15:fullRef>
                        <c15:formulaRef>
                          <c15:sqref>(Layout!$A$7,Layout!$A$65:$A$78)</c15:sqref>
                        </c15:formulaRef>
                      </c:ext>
                    </c:extLst>
                    <c:strCache>
                      <c:ptCount val="15"/>
                      <c:pt idx="0">
                        <c:v>10/20 - 10/27
(Pre Upgrades)</c:v>
                      </c:pt>
                      <c:pt idx="1">
                        <c:v>1/15</c:v>
                      </c:pt>
                      <c:pt idx="2">
                        <c:v>1/16</c:v>
                      </c:pt>
                      <c:pt idx="3">
                        <c:v>1/17</c:v>
                      </c:pt>
                      <c:pt idx="4">
                        <c:v>1/18</c:v>
                      </c:pt>
                      <c:pt idx="5">
                        <c:v>1/19</c:v>
                      </c:pt>
                      <c:pt idx="6">
                        <c:v>1/20</c:v>
                      </c:pt>
                      <c:pt idx="7">
                        <c:v>1/21</c:v>
                      </c:pt>
                      <c:pt idx="8">
                        <c:v>1/22</c:v>
                      </c:pt>
                      <c:pt idx="9">
                        <c:v>1/23</c:v>
                      </c:pt>
                      <c:pt idx="10">
                        <c:v>1/24</c:v>
                      </c:pt>
                      <c:pt idx="11">
                        <c:v>1/25</c:v>
                      </c:pt>
                      <c:pt idx="12">
                        <c:v>1/26</c:v>
                      </c:pt>
                      <c:pt idx="13">
                        <c:v>1/27</c:v>
                      </c:pt>
                      <c:pt idx="14">
                        <c:v>1/28</c:v>
                      </c:pt>
                    </c:strCache>
                  </c:strRef>
                </c:cat>
                <c:val>
                  <c:numRef>
                    <c:extLst>
                      <c:ext xmlns:c15="http://schemas.microsoft.com/office/drawing/2012/chart" uri="{02D57815-91ED-43cb-92C2-25804820EDAC}">
                        <c15:fullRef>
                          <c15:sqref>Layout!$E$7:$E$79</c15:sqref>
                        </c15:fullRef>
                        <c15:formulaRef>
                          <c15:sqref>(Layout!$E$7,Layout!$E$65:$E$78)</c15:sqref>
                        </c15:formulaRef>
                      </c:ext>
                    </c:extLst>
                    <c:numCache>
                      <c:formatCode>0.0%</c:formatCode>
                      <c:ptCount val="15"/>
                      <c:pt idx="1">
                        <c:v>0.33357746118657761</c:v>
                      </c:pt>
                      <c:pt idx="2">
                        <c:v>0.32386556893476137</c:v>
                      </c:pt>
                      <c:pt idx="3">
                        <c:v>0.35583715514990727</c:v>
                      </c:pt>
                      <c:pt idx="4">
                        <c:v>0.34181991345145502</c:v>
                      </c:pt>
                      <c:pt idx="5">
                        <c:v>0.33477523042624696</c:v>
                      </c:pt>
                      <c:pt idx="6">
                        <c:v>0.34085916994575061</c:v>
                      </c:pt>
                      <c:pt idx="7">
                        <c:v>0.3286537117159869</c:v>
                      </c:pt>
                      <c:pt idx="8">
                        <c:v>0.32077399961272357</c:v>
                      </c:pt>
                      <c:pt idx="9">
                        <c:v>0.32713675247480895</c:v>
                      </c:pt>
                      <c:pt idx="10">
                        <c:v>0.31745412081589514</c:v>
                      </c:pt>
                      <c:pt idx="11">
                        <c:v>0.31831302519951926</c:v>
                      </c:pt>
                      <c:pt idx="12">
                        <c:v>0.32252814856145473</c:v>
                      </c:pt>
                      <c:pt idx="13">
                        <c:v>0.31271790954674816</c:v>
                      </c:pt>
                      <c:pt idx="14">
                        <c:v>0.30548966969833025</c:v>
                      </c:pt>
                    </c:numCache>
                  </c:numRef>
                </c:val>
              </c15:ser>
            </c15:filteredBarSeries>
          </c:ext>
        </c:extLst>
      </c:barChart>
      <c:catAx>
        <c:axId val="116370816"/>
        <c:scaling>
          <c:orientation val="minMax"/>
        </c:scaling>
        <c:delete val="0"/>
        <c:axPos val="b"/>
        <c:numFmt formatCode="General" sourceLinked="0"/>
        <c:majorTickMark val="out"/>
        <c:minorTickMark val="none"/>
        <c:tickLblPos val="nextTo"/>
        <c:spPr>
          <a:ln/>
        </c:spPr>
        <c:txPr>
          <a:bodyPr rot="0" vert="horz" anchor="ctr" anchorCtr="1"/>
          <a:lstStyle/>
          <a:p>
            <a:pPr>
              <a:defRPr sz="700">
                <a:solidFill>
                  <a:sysClr val="windowText" lastClr="000000"/>
                </a:solidFill>
              </a:defRPr>
            </a:pPr>
            <a:endParaRPr lang="en-US"/>
          </a:p>
        </c:txPr>
        <c:crossAx val="116380800"/>
        <c:crosses val="autoZero"/>
        <c:auto val="1"/>
        <c:lblAlgn val="ctr"/>
        <c:lblOffset val="100"/>
        <c:tickLblSkip val="2"/>
        <c:noMultiLvlLbl val="1"/>
      </c:catAx>
      <c:valAx>
        <c:axId val="116380800"/>
        <c:scaling>
          <c:orientation val="minMax"/>
          <c:max val="1"/>
          <c:min val="0.8"/>
        </c:scaling>
        <c:delete val="0"/>
        <c:axPos val="l"/>
        <c:majorGridlines>
          <c:spPr>
            <a:ln>
              <a:solidFill>
                <a:schemeClr val="bg1">
                  <a:lumMod val="85000"/>
                </a:schemeClr>
              </a:solidFill>
            </a:ln>
          </c:spPr>
        </c:majorGridlines>
        <c:numFmt formatCode="0%" sourceLinked="0"/>
        <c:majorTickMark val="none"/>
        <c:minorTickMark val="none"/>
        <c:tickLblPos val="nextTo"/>
        <c:spPr>
          <a:ln/>
        </c:spPr>
        <c:txPr>
          <a:bodyPr/>
          <a:lstStyle/>
          <a:p>
            <a:pPr>
              <a:defRPr sz="700">
                <a:solidFill>
                  <a:sysClr val="windowText" lastClr="000000"/>
                </a:solidFill>
              </a:defRPr>
            </a:pPr>
            <a:endParaRPr lang="en-US"/>
          </a:p>
        </c:txPr>
        <c:crossAx val="116370816"/>
        <c:crosses val="autoZero"/>
        <c:crossBetween val="between"/>
        <c:majorUnit val="2.0000000000000004E-2"/>
      </c:valAx>
      <c:spPr>
        <a:ln>
          <a:solidFill>
            <a:schemeClr val="bg1">
              <a:lumMod val="50000"/>
            </a:schemeClr>
          </a:solidFill>
        </a:ln>
      </c:spPr>
    </c:plotArea>
    <c:legend>
      <c:legendPos val="b"/>
      <c:layout/>
      <c:overlay val="0"/>
      <c:txPr>
        <a:bodyPr/>
        <a:lstStyle/>
        <a:p>
          <a:pPr>
            <a:defRPr sz="800"/>
          </a:pPr>
          <a:endParaRPr lang="en-US"/>
        </a:p>
      </c:txPr>
    </c:legend>
    <c:plotVisOnly val="1"/>
    <c:dispBlanksAs val="gap"/>
    <c:showDLblsOverMax val="0"/>
  </c:chart>
  <c:spPr>
    <a:ln w="9525">
      <a:solidFill>
        <a:schemeClr val="tx1"/>
      </a:solid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000" b="1">
                <a:solidFill>
                  <a:sysClr val="windowText" lastClr="000000"/>
                </a:solidFill>
              </a:rPr>
              <a:t>Aggregated</a:t>
            </a:r>
            <a:r>
              <a:rPr lang="en-US" sz="1000" b="1" baseline="0">
                <a:solidFill>
                  <a:sysClr val="windowText" lastClr="000000"/>
                </a:solidFill>
              </a:rPr>
              <a:t> Bus Tap Times by Hour</a:t>
            </a:r>
            <a:endParaRPr lang="en-US" sz="1000" b="1">
              <a:solidFill>
                <a:sysClr val="windowText" lastClr="000000"/>
              </a:solidFill>
            </a:endParaRPr>
          </a:p>
        </c:rich>
      </c:tx>
      <c:layout/>
      <c:overlay val="0"/>
      <c:spPr>
        <a:noFill/>
        <a:ln>
          <a:noFill/>
        </a:ln>
        <a:effectLst/>
      </c:spPr>
    </c:title>
    <c:autoTitleDeleted val="0"/>
    <c:plotArea>
      <c:layout>
        <c:manualLayout>
          <c:layoutTarget val="inner"/>
          <c:xMode val="edge"/>
          <c:yMode val="edge"/>
          <c:x val="7.4709771855441143E-2"/>
          <c:y val="0.17891688538932635"/>
          <c:w val="0.90425223237713714"/>
          <c:h val="0.54224299986233837"/>
        </c:manualLayout>
      </c:layout>
      <c:barChart>
        <c:barDir val="col"/>
        <c:grouping val="percentStacked"/>
        <c:varyColors val="0"/>
        <c:ser>
          <c:idx val="0"/>
          <c:order val="0"/>
          <c:tx>
            <c:strRef>
              <c:f>HourlyPivot!$B$152</c:f>
              <c:strCache>
                <c:ptCount val="1"/>
                <c:pt idx="0">
                  <c:v>Sum of ≤ 2.5 Sec</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HourlyPivot!$A$153:$A$176</c:f>
              <c:numCache>
                <c:formatCode>h:mm;@</c:formatCode>
                <c:ptCount val="24"/>
                <c:pt idx="0">
                  <c:v>0</c:v>
                </c:pt>
                <c:pt idx="1">
                  <c:v>4.1666666666666664E-2</c:v>
                </c:pt>
                <c:pt idx="2">
                  <c:v>8.3333333333333329E-2</c:v>
                </c:pt>
                <c:pt idx="3">
                  <c:v>0.125</c:v>
                </c:pt>
                <c:pt idx="4">
                  <c:v>0.16666666666666666</c:v>
                </c:pt>
                <c:pt idx="5">
                  <c:v>0.20833333333333334</c:v>
                </c:pt>
                <c:pt idx="6">
                  <c:v>0.25</c:v>
                </c:pt>
                <c:pt idx="7">
                  <c:v>0.29166666666666669</c:v>
                </c:pt>
                <c:pt idx="8">
                  <c:v>0.33333333333333331</c:v>
                </c:pt>
                <c:pt idx="9">
                  <c:v>0.375</c:v>
                </c:pt>
                <c:pt idx="10">
                  <c:v>0.41666666666666669</c:v>
                </c:pt>
                <c:pt idx="11">
                  <c:v>0.45833333333333331</c:v>
                </c:pt>
                <c:pt idx="12">
                  <c:v>0.5</c:v>
                </c:pt>
                <c:pt idx="13">
                  <c:v>0.54166666666666663</c:v>
                </c:pt>
                <c:pt idx="14">
                  <c:v>0.58333333333333337</c:v>
                </c:pt>
                <c:pt idx="15">
                  <c:v>0.625</c:v>
                </c:pt>
                <c:pt idx="16">
                  <c:v>0.66666666666666663</c:v>
                </c:pt>
                <c:pt idx="17">
                  <c:v>0.70833333333333337</c:v>
                </c:pt>
                <c:pt idx="18">
                  <c:v>0.75</c:v>
                </c:pt>
                <c:pt idx="19">
                  <c:v>0.79166666666666663</c:v>
                </c:pt>
                <c:pt idx="20">
                  <c:v>0.83333333333333337</c:v>
                </c:pt>
                <c:pt idx="21">
                  <c:v>0.875</c:v>
                </c:pt>
                <c:pt idx="22">
                  <c:v>0.91666666666666663</c:v>
                </c:pt>
                <c:pt idx="23">
                  <c:v>0.95833333333333337</c:v>
                </c:pt>
              </c:numCache>
            </c:numRef>
          </c:cat>
          <c:val>
            <c:numRef>
              <c:f>HourlyPivot!$B$153:$B$176</c:f>
              <c:numCache>
                <c:formatCode>0.00%</c:formatCode>
                <c:ptCount val="24"/>
                <c:pt idx="0">
                  <c:v>0.99937504955297385</c:v>
                </c:pt>
                <c:pt idx="1">
                  <c:v>0.99930348760914556</c:v>
                </c:pt>
                <c:pt idx="2">
                  <c:v>0.9991169130351315</c:v>
                </c:pt>
                <c:pt idx="3">
                  <c:v>0.99914418042690289</c:v>
                </c:pt>
                <c:pt idx="4">
                  <c:v>0.99929046026577484</c:v>
                </c:pt>
                <c:pt idx="5">
                  <c:v>0.99948991292932332</c:v>
                </c:pt>
                <c:pt idx="6">
                  <c:v>0.99954121146673203</c:v>
                </c:pt>
                <c:pt idx="7">
                  <c:v>0.9994246664812555</c:v>
                </c:pt>
                <c:pt idx="8">
                  <c:v>0.99947218508399693</c:v>
                </c:pt>
                <c:pt idx="9">
                  <c:v>0.9995133429358567</c:v>
                </c:pt>
                <c:pt idx="10">
                  <c:v>0.99952509617494734</c:v>
                </c:pt>
                <c:pt idx="11">
                  <c:v>0.99951027928940106</c:v>
                </c:pt>
                <c:pt idx="12">
                  <c:v>0.9994758130582605</c:v>
                </c:pt>
                <c:pt idx="13">
                  <c:v>0.99947556300830798</c:v>
                </c:pt>
                <c:pt idx="14">
                  <c:v>0.99946082366039812</c:v>
                </c:pt>
                <c:pt idx="15">
                  <c:v>0.99945373064588072</c:v>
                </c:pt>
                <c:pt idx="16">
                  <c:v>0.99945697328886707</c:v>
                </c:pt>
                <c:pt idx="17">
                  <c:v>0.99950707832182351</c:v>
                </c:pt>
                <c:pt idx="18">
                  <c:v>0.99956680021263034</c:v>
                </c:pt>
                <c:pt idx="19">
                  <c:v>0.9995275754545816</c:v>
                </c:pt>
                <c:pt idx="20">
                  <c:v>0.99948071266324046</c:v>
                </c:pt>
                <c:pt idx="21">
                  <c:v>0.99939103175107491</c:v>
                </c:pt>
                <c:pt idx="22">
                  <c:v>0.99939137355618424</c:v>
                </c:pt>
                <c:pt idx="23">
                  <c:v>0.99940476190476191</c:v>
                </c:pt>
              </c:numCache>
            </c:numRef>
          </c:val>
        </c:ser>
        <c:ser>
          <c:idx val="1"/>
          <c:order val="1"/>
          <c:tx>
            <c:strRef>
              <c:f>HourlyPivot!$C$152</c:f>
              <c:strCache>
                <c:ptCount val="1"/>
                <c:pt idx="0">
                  <c:v>Sum of &gt; 2.5 Sec.</c:v>
                </c:pt>
              </c:strCache>
            </c:strRef>
          </c:tx>
          <c:spPr>
            <a:solidFill>
              <a:schemeClr val="accent2"/>
            </a:solidFill>
            <a:ln>
              <a:noFill/>
            </a:ln>
            <a:effectLst/>
          </c:spPr>
          <c:invertIfNegative val="0"/>
          <c:cat>
            <c:numRef>
              <c:f>HourlyPivot!$A$153:$A$176</c:f>
              <c:numCache>
                <c:formatCode>h:mm;@</c:formatCode>
                <c:ptCount val="24"/>
                <c:pt idx="0">
                  <c:v>0</c:v>
                </c:pt>
                <c:pt idx="1">
                  <c:v>4.1666666666666664E-2</c:v>
                </c:pt>
                <c:pt idx="2">
                  <c:v>8.3333333333333329E-2</c:v>
                </c:pt>
                <c:pt idx="3">
                  <c:v>0.125</c:v>
                </c:pt>
                <c:pt idx="4">
                  <c:v>0.16666666666666666</c:v>
                </c:pt>
                <c:pt idx="5">
                  <c:v>0.20833333333333334</c:v>
                </c:pt>
                <c:pt idx="6">
                  <c:v>0.25</c:v>
                </c:pt>
                <c:pt idx="7">
                  <c:v>0.29166666666666669</c:v>
                </c:pt>
                <c:pt idx="8">
                  <c:v>0.33333333333333331</c:v>
                </c:pt>
                <c:pt idx="9">
                  <c:v>0.375</c:v>
                </c:pt>
                <c:pt idx="10">
                  <c:v>0.41666666666666669</c:v>
                </c:pt>
                <c:pt idx="11">
                  <c:v>0.45833333333333331</c:v>
                </c:pt>
                <c:pt idx="12">
                  <c:v>0.5</c:v>
                </c:pt>
                <c:pt idx="13">
                  <c:v>0.54166666666666663</c:v>
                </c:pt>
                <c:pt idx="14">
                  <c:v>0.58333333333333337</c:v>
                </c:pt>
                <c:pt idx="15">
                  <c:v>0.625</c:v>
                </c:pt>
                <c:pt idx="16">
                  <c:v>0.66666666666666663</c:v>
                </c:pt>
                <c:pt idx="17">
                  <c:v>0.70833333333333337</c:v>
                </c:pt>
                <c:pt idx="18">
                  <c:v>0.75</c:v>
                </c:pt>
                <c:pt idx="19">
                  <c:v>0.79166666666666663</c:v>
                </c:pt>
                <c:pt idx="20">
                  <c:v>0.83333333333333337</c:v>
                </c:pt>
                <c:pt idx="21">
                  <c:v>0.875</c:v>
                </c:pt>
                <c:pt idx="22">
                  <c:v>0.91666666666666663</c:v>
                </c:pt>
                <c:pt idx="23">
                  <c:v>0.95833333333333337</c:v>
                </c:pt>
              </c:numCache>
            </c:numRef>
          </c:cat>
          <c:val>
            <c:numRef>
              <c:f>HourlyPivot!$C$153:$C$176</c:f>
              <c:numCache>
                <c:formatCode>0.00%</c:formatCode>
                <c:ptCount val="24"/>
                <c:pt idx="0">
                  <c:v>6.2495044702612205E-4</c:v>
                </c:pt>
                <c:pt idx="1">
                  <c:v>6.9651239085448944E-4</c:v>
                </c:pt>
                <c:pt idx="2">
                  <c:v>8.8308696486849678E-4</c:v>
                </c:pt>
                <c:pt idx="3">
                  <c:v>8.5581957309706E-4</c:v>
                </c:pt>
                <c:pt idx="4">
                  <c:v>7.095397342251166E-4</c:v>
                </c:pt>
                <c:pt idx="5">
                  <c:v>5.1008707067671556E-4</c:v>
                </c:pt>
                <c:pt idx="6">
                  <c:v>4.5878853326796561E-4</c:v>
                </c:pt>
                <c:pt idx="7">
                  <c:v>5.753335187444592E-4</c:v>
                </c:pt>
                <c:pt idx="8">
                  <c:v>5.2781491600302271E-4</c:v>
                </c:pt>
                <c:pt idx="9">
                  <c:v>4.866570641432971E-4</c:v>
                </c:pt>
                <c:pt idx="10">
                  <c:v>4.7490382505263053E-4</c:v>
                </c:pt>
                <c:pt idx="11">
                  <c:v>4.8972071059896457E-4</c:v>
                </c:pt>
                <c:pt idx="12">
                  <c:v>5.2418694173944939E-4</c:v>
                </c:pt>
                <c:pt idx="13">
                  <c:v>5.2443699169207631E-4</c:v>
                </c:pt>
                <c:pt idx="14">
                  <c:v>5.3917633960189287E-4</c:v>
                </c:pt>
                <c:pt idx="15">
                  <c:v>5.4626935411932116E-4</c:v>
                </c:pt>
                <c:pt idx="16">
                  <c:v>5.4302671113291476E-4</c:v>
                </c:pt>
                <c:pt idx="17">
                  <c:v>4.929216781765413E-4</c:v>
                </c:pt>
                <c:pt idx="18">
                  <c:v>4.331997873696661E-4</c:v>
                </c:pt>
                <c:pt idx="19">
                  <c:v>4.7242454541837088E-4</c:v>
                </c:pt>
                <c:pt idx="20">
                  <c:v>5.1928733675951297E-4</c:v>
                </c:pt>
                <c:pt idx="21">
                  <c:v>6.0896824892503866E-4</c:v>
                </c:pt>
                <c:pt idx="22">
                  <c:v>6.0862644381575338E-4</c:v>
                </c:pt>
                <c:pt idx="23">
                  <c:v>5.9523809523809529E-4</c:v>
                </c:pt>
              </c:numCache>
            </c:numRef>
          </c:val>
        </c:ser>
        <c:dLbls>
          <c:showLegendKey val="0"/>
          <c:showVal val="0"/>
          <c:showCatName val="0"/>
          <c:showSerName val="0"/>
          <c:showPercent val="0"/>
          <c:showBubbleSize val="0"/>
        </c:dLbls>
        <c:gapWidth val="75"/>
        <c:overlap val="100"/>
        <c:axId val="118571008"/>
        <c:axId val="118572544"/>
      </c:barChart>
      <c:catAx>
        <c:axId val="118571008"/>
        <c:scaling>
          <c:orientation val="minMax"/>
        </c:scaling>
        <c:delete val="0"/>
        <c:axPos val="b"/>
        <c:numFmt formatCode="h:mm;@" sourceLinked="1"/>
        <c:majorTickMark val="out"/>
        <c:minorTickMark val="none"/>
        <c:tickLblPos val="nextTo"/>
        <c:spPr>
          <a:noFill/>
          <a:ln w="9525" cap="flat" cmpd="sng" algn="ctr">
            <a:solidFill>
              <a:schemeClr val="bg1">
                <a:lumMod val="50000"/>
              </a:schemeClr>
            </a:solidFill>
            <a:round/>
          </a:ln>
          <a:effectLst/>
        </c:spPr>
        <c:txPr>
          <a:bodyPr rot="-3000000" spcFirstLastPara="1" vertOverflow="ellipsis" wrap="square" anchor="ctr" anchorCtr="1"/>
          <a:lstStyle/>
          <a:p>
            <a:pPr>
              <a:defRPr sz="700" b="0" i="0" u="none" strike="noStrike" kern="1200" baseline="0">
                <a:solidFill>
                  <a:sysClr val="windowText" lastClr="000000"/>
                </a:solidFill>
                <a:latin typeface="+mn-lt"/>
                <a:ea typeface="+mn-ea"/>
                <a:cs typeface="+mn-cs"/>
              </a:defRPr>
            </a:pPr>
            <a:endParaRPr lang="en-US"/>
          </a:p>
        </c:txPr>
        <c:crossAx val="118572544"/>
        <c:crosses val="autoZero"/>
        <c:auto val="1"/>
        <c:lblAlgn val="ctr"/>
        <c:lblOffset val="100"/>
        <c:noMultiLvlLbl val="0"/>
      </c:catAx>
      <c:valAx>
        <c:axId val="118572544"/>
        <c:scaling>
          <c:orientation val="minMax"/>
          <c:max val="1"/>
          <c:min val="0.95000000000000007"/>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schemeClr val="tx1">
                <a:lumMod val="65000"/>
                <a:lumOff val="35000"/>
              </a:schemeClr>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n-US"/>
          </a:p>
        </c:txPr>
        <c:crossAx val="118571008"/>
        <c:crosses val="autoZero"/>
        <c:crossBetween val="between"/>
        <c:majorUnit val="1.0000000000000002E-2"/>
      </c:valAx>
      <c:spPr>
        <a:noFill/>
        <a:ln>
          <a:solidFill>
            <a:schemeClr val="bg1">
              <a:lumMod val="50000"/>
            </a:schemeClr>
          </a:solid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Active Accounts Daily Growth</a:t>
            </a:r>
          </a:p>
        </c:rich>
      </c:tx>
      <c:layout/>
      <c:overlay val="0"/>
    </c:title>
    <c:autoTitleDeleted val="0"/>
    <c:plotArea>
      <c:layout/>
      <c:barChart>
        <c:barDir val="col"/>
        <c:grouping val="stacked"/>
        <c:varyColors val="0"/>
        <c:ser>
          <c:idx val="0"/>
          <c:order val="0"/>
          <c:tx>
            <c:strRef>
              <c:f>'Active Accounts'!$B$3</c:f>
              <c:strCache>
                <c:ptCount val="1"/>
                <c:pt idx="0">
                  <c:v>Ventra </c:v>
                </c:pt>
              </c:strCache>
            </c:strRef>
          </c:tx>
          <c:invertIfNegative val="0"/>
          <c:cat>
            <c:strRef>
              <c:f>'Active Accounts'!$AK$2:$CO$2</c:f>
              <c:strCache>
                <c:ptCount val="32"/>
                <c:pt idx="0">
                  <c:v>12/28</c:v>
                </c:pt>
                <c:pt idx="1">
                  <c:v>12/29</c:v>
                </c:pt>
                <c:pt idx="2">
                  <c:v>12/30</c:v>
                </c:pt>
                <c:pt idx="3">
                  <c:v>12/31</c:v>
                </c:pt>
                <c:pt idx="4">
                  <c:v>1/1</c:v>
                </c:pt>
                <c:pt idx="5">
                  <c:v>1/2</c:v>
                </c:pt>
                <c:pt idx="6">
                  <c:v>1/3</c:v>
                </c:pt>
                <c:pt idx="7">
                  <c:v>1/4</c:v>
                </c:pt>
                <c:pt idx="8">
                  <c:v>1/5</c:v>
                </c:pt>
                <c:pt idx="9">
                  <c:v>1/6</c:v>
                </c:pt>
                <c:pt idx="10">
                  <c:v>1/7</c:v>
                </c:pt>
                <c:pt idx="11">
                  <c:v>1/8</c:v>
                </c:pt>
                <c:pt idx="12">
                  <c:v>1/9</c:v>
                </c:pt>
                <c:pt idx="13">
                  <c:v>1/10</c:v>
                </c:pt>
                <c:pt idx="14">
                  <c:v>1/11</c:v>
                </c:pt>
                <c:pt idx="15">
                  <c:v>1/12</c:v>
                </c:pt>
                <c:pt idx="16">
                  <c:v>1/13</c:v>
                </c:pt>
                <c:pt idx="17">
                  <c:v>1/14</c:v>
                </c:pt>
                <c:pt idx="18">
                  <c:v>1/15</c:v>
                </c:pt>
                <c:pt idx="19">
                  <c:v>1/16</c:v>
                </c:pt>
                <c:pt idx="20">
                  <c:v>1/17</c:v>
                </c:pt>
                <c:pt idx="21">
                  <c:v>1/18</c:v>
                </c:pt>
                <c:pt idx="22">
                  <c:v>1/19</c:v>
                </c:pt>
                <c:pt idx="23">
                  <c:v>1/20</c:v>
                </c:pt>
                <c:pt idx="24">
                  <c:v>1/21</c:v>
                </c:pt>
                <c:pt idx="25">
                  <c:v>1/22</c:v>
                </c:pt>
                <c:pt idx="26">
                  <c:v>1/23</c:v>
                </c:pt>
                <c:pt idx="27">
                  <c:v>1/24</c:v>
                </c:pt>
                <c:pt idx="28">
                  <c:v>1/25</c:v>
                </c:pt>
                <c:pt idx="29">
                  <c:v>1/26</c:v>
                </c:pt>
                <c:pt idx="30">
                  <c:v>1/27</c:v>
                </c:pt>
                <c:pt idx="31">
                  <c:v>1/28</c:v>
                </c:pt>
              </c:strCache>
              <c:extLst/>
            </c:strRef>
          </c:cat>
          <c:val>
            <c:numRef>
              <c:f>'Active Accounts'!$AK$3:$CO$3</c:f>
              <c:numCache>
                <c:formatCode>_(* #,##0_);_(* \(#,##0\);_(* "-"??_);_(@_)</c:formatCode>
                <c:ptCount val="32"/>
                <c:pt idx="0">
                  <c:v>653659</c:v>
                </c:pt>
                <c:pt idx="1">
                  <c:v>655960</c:v>
                </c:pt>
                <c:pt idx="2">
                  <c:v>660909</c:v>
                </c:pt>
                <c:pt idx="3">
                  <c:v>662442</c:v>
                </c:pt>
                <c:pt idx="4">
                  <c:v>665641</c:v>
                </c:pt>
                <c:pt idx="5">
                  <c:v>668587</c:v>
                </c:pt>
                <c:pt idx="6">
                  <c:v>671942</c:v>
                </c:pt>
                <c:pt idx="7">
                  <c:v>674144</c:v>
                </c:pt>
                <c:pt idx="8">
                  <c:v>676516</c:v>
                </c:pt>
                <c:pt idx="9">
                  <c:v>678364</c:v>
                </c:pt>
                <c:pt idx="10">
                  <c:v>683608</c:v>
                </c:pt>
                <c:pt idx="11">
                  <c:v>690859</c:v>
                </c:pt>
                <c:pt idx="12">
                  <c:v>691150</c:v>
                </c:pt>
                <c:pt idx="13">
                  <c:v>689933</c:v>
                </c:pt>
                <c:pt idx="14">
                  <c:v>692399</c:v>
                </c:pt>
                <c:pt idx="15">
                  <c:v>697590</c:v>
                </c:pt>
                <c:pt idx="16">
                  <c:v>702603</c:v>
                </c:pt>
                <c:pt idx="17">
                  <c:v>705934</c:v>
                </c:pt>
                <c:pt idx="18">
                  <c:v>710381</c:v>
                </c:pt>
                <c:pt idx="19">
                  <c:v>708950</c:v>
                </c:pt>
                <c:pt idx="20">
                  <c:v>710134</c:v>
                </c:pt>
                <c:pt idx="21">
                  <c:v>712952</c:v>
                </c:pt>
                <c:pt idx="22">
                  <c:v>715883</c:v>
                </c:pt>
                <c:pt idx="23">
                  <c:v>720779</c:v>
                </c:pt>
                <c:pt idx="24">
                  <c:v>721666</c:v>
                </c:pt>
                <c:pt idx="25">
                  <c:v>723755</c:v>
                </c:pt>
                <c:pt idx="26">
                  <c:v>725165</c:v>
                </c:pt>
                <c:pt idx="27">
                  <c:v>727071</c:v>
                </c:pt>
                <c:pt idx="28">
                  <c:v>728769</c:v>
                </c:pt>
                <c:pt idx="29">
                  <c:v>730576</c:v>
                </c:pt>
                <c:pt idx="30">
                  <c:v>732475</c:v>
                </c:pt>
                <c:pt idx="31">
                  <c:v>734621</c:v>
                </c:pt>
              </c:numCache>
              <c:extLst/>
            </c:numRef>
          </c:val>
        </c:ser>
        <c:ser>
          <c:idx val="1"/>
          <c:order val="1"/>
          <c:tx>
            <c:strRef>
              <c:f>'Active Accounts'!$B$4</c:f>
              <c:strCache>
                <c:ptCount val="1"/>
                <c:pt idx="0">
                  <c:v>RTA</c:v>
                </c:pt>
              </c:strCache>
            </c:strRef>
          </c:tx>
          <c:invertIfNegative val="0"/>
          <c:cat>
            <c:strRef>
              <c:f>'Active Accounts'!$AK$2:$CO$2</c:f>
              <c:strCache>
                <c:ptCount val="32"/>
                <c:pt idx="0">
                  <c:v>12/28</c:v>
                </c:pt>
                <c:pt idx="1">
                  <c:v>12/29</c:v>
                </c:pt>
                <c:pt idx="2">
                  <c:v>12/30</c:v>
                </c:pt>
                <c:pt idx="3">
                  <c:v>12/31</c:v>
                </c:pt>
                <c:pt idx="4">
                  <c:v>1/1</c:v>
                </c:pt>
                <c:pt idx="5">
                  <c:v>1/2</c:v>
                </c:pt>
                <c:pt idx="6">
                  <c:v>1/3</c:v>
                </c:pt>
                <c:pt idx="7">
                  <c:v>1/4</c:v>
                </c:pt>
                <c:pt idx="8">
                  <c:v>1/5</c:v>
                </c:pt>
                <c:pt idx="9">
                  <c:v>1/6</c:v>
                </c:pt>
                <c:pt idx="10">
                  <c:v>1/7</c:v>
                </c:pt>
                <c:pt idx="11">
                  <c:v>1/8</c:v>
                </c:pt>
                <c:pt idx="12">
                  <c:v>1/9</c:v>
                </c:pt>
                <c:pt idx="13">
                  <c:v>1/10</c:v>
                </c:pt>
                <c:pt idx="14">
                  <c:v>1/11</c:v>
                </c:pt>
                <c:pt idx="15">
                  <c:v>1/12</c:v>
                </c:pt>
                <c:pt idx="16">
                  <c:v>1/13</c:v>
                </c:pt>
                <c:pt idx="17">
                  <c:v>1/14</c:v>
                </c:pt>
                <c:pt idx="18">
                  <c:v>1/15</c:v>
                </c:pt>
                <c:pt idx="19">
                  <c:v>1/16</c:v>
                </c:pt>
                <c:pt idx="20">
                  <c:v>1/17</c:v>
                </c:pt>
                <c:pt idx="21">
                  <c:v>1/18</c:v>
                </c:pt>
                <c:pt idx="22">
                  <c:v>1/19</c:v>
                </c:pt>
                <c:pt idx="23">
                  <c:v>1/20</c:v>
                </c:pt>
                <c:pt idx="24">
                  <c:v>1/21</c:v>
                </c:pt>
                <c:pt idx="25">
                  <c:v>1/22</c:v>
                </c:pt>
                <c:pt idx="26">
                  <c:v>1/23</c:v>
                </c:pt>
                <c:pt idx="27">
                  <c:v>1/24</c:v>
                </c:pt>
                <c:pt idx="28">
                  <c:v>1/25</c:v>
                </c:pt>
                <c:pt idx="29">
                  <c:v>1/26</c:v>
                </c:pt>
                <c:pt idx="30">
                  <c:v>1/27</c:v>
                </c:pt>
                <c:pt idx="31">
                  <c:v>1/28</c:v>
                </c:pt>
              </c:strCache>
              <c:extLst/>
            </c:strRef>
          </c:cat>
          <c:val>
            <c:numRef>
              <c:f>'Active Accounts'!$AK$4:$CO$4</c:f>
              <c:numCache>
                <c:formatCode>_(* #,##0_);_(* \(#,##0\);_(* "-"??_);_(@_)</c:formatCode>
                <c:ptCount val="32"/>
                <c:pt idx="0">
                  <c:v>269162</c:v>
                </c:pt>
                <c:pt idx="1">
                  <c:v>269460</c:v>
                </c:pt>
                <c:pt idx="2">
                  <c:v>271089</c:v>
                </c:pt>
                <c:pt idx="3">
                  <c:v>271909</c:v>
                </c:pt>
                <c:pt idx="4">
                  <c:v>272339</c:v>
                </c:pt>
                <c:pt idx="5">
                  <c:v>273399</c:v>
                </c:pt>
                <c:pt idx="6">
                  <c:v>274799</c:v>
                </c:pt>
                <c:pt idx="7">
                  <c:v>275313</c:v>
                </c:pt>
                <c:pt idx="8">
                  <c:v>275579</c:v>
                </c:pt>
                <c:pt idx="9">
                  <c:v>276274</c:v>
                </c:pt>
                <c:pt idx="10">
                  <c:v>277031</c:v>
                </c:pt>
                <c:pt idx="11">
                  <c:v>277963</c:v>
                </c:pt>
                <c:pt idx="12">
                  <c:v>278791</c:v>
                </c:pt>
                <c:pt idx="13">
                  <c:v>279403</c:v>
                </c:pt>
                <c:pt idx="14">
                  <c:v>279844</c:v>
                </c:pt>
                <c:pt idx="15">
                  <c:v>280204</c:v>
                </c:pt>
                <c:pt idx="16">
                  <c:v>281271</c:v>
                </c:pt>
                <c:pt idx="17">
                  <c:v>281614</c:v>
                </c:pt>
                <c:pt idx="18">
                  <c:v>282482</c:v>
                </c:pt>
                <c:pt idx="19">
                  <c:v>283176</c:v>
                </c:pt>
                <c:pt idx="20">
                  <c:v>283176</c:v>
                </c:pt>
                <c:pt idx="21">
                  <c:v>283894</c:v>
                </c:pt>
                <c:pt idx="22">
                  <c:v>284243</c:v>
                </c:pt>
                <c:pt idx="23">
                  <c:v>284680</c:v>
                </c:pt>
                <c:pt idx="24">
                  <c:v>285392</c:v>
                </c:pt>
                <c:pt idx="25">
                  <c:v>286061</c:v>
                </c:pt>
                <c:pt idx="26">
                  <c:v>286619</c:v>
                </c:pt>
                <c:pt idx="27">
                  <c:v>286887</c:v>
                </c:pt>
                <c:pt idx="28">
                  <c:v>287170</c:v>
                </c:pt>
                <c:pt idx="29">
                  <c:v>287272</c:v>
                </c:pt>
                <c:pt idx="30">
                  <c:v>287752</c:v>
                </c:pt>
                <c:pt idx="31">
                  <c:v>288288</c:v>
                </c:pt>
              </c:numCache>
              <c:extLst/>
            </c:numRef>
          </c:val>
        </c:ser>
        <c:ser>
          <c:idx val="7"/>
          <c:order val="2"/>
          <c:tx>
            <c:strRef>
              <c:f>'Active Accounts'!$B$12</c:f>
              <c:strCache>
                <c:ptCount val="1"/>
                <c:pt idx="0">
                  <c:v>Student/UPASS total</c:v>
                </c:pt>
              </c:strCache>
            </c:strRef>
          </c:tx>
          <c:spPr>
            <a:solidFill>
              <a:schemeClr val="accent3"/>
            </a:solidFill>
            <a:ln>
              <a:noFill/>
            </a:ln>
          </c:spPr>
          <c:invertIfNegative val="0"/>
          <c:cat>
            <c:strRef>
              <c:f>'Active Accounts'!$AK$2:$CO$2</c:f>
              <c:strCache>
                <c:ptCount val="32"/>
                <c:pt idx="0">
                  <c:v>12/28</c:v>
                </c:pt>
                <c:pt idx="1">
                  <c:v>12/29</c:v>
                </c:pt>
                <c:pt idx="2">
                  <c:v>12/30</c:v>
                </c:pt>
                <c:pt idx="3">
                  <c:v>12/31</c:v>
                </c:pt>
                <c:pt idx="4">
                  <c:v>1/1</c:v>
                </c:pt>
                <c:pt idx="5">
                  <c:v>1/2</c:v>
                </c:pt>
                <c:pt idx="6">
                  <c:v>1/3</c:v>
                </c:pt>
                <c:pt idx="7">
                  <c:v>1/4</c:v>
                </c:pt>
                <c:pt idx="8">
                  <c:v>1/5</c:v>
                </c:pt>
                <c:pt idx="9">
                  <c:v>1/6</c:v>
                </c:pt>
                <c:pt idx="10">
                  <c:v>1/7</c:v>
                </c:pt>
                <c:pt idx="11">
                  <c:v>1/8</c:v>
                </c:pt>
                <c:pt idx="12">
                  <c:v>1/9</c:v>
                </c:pt>
                <c:pt idx="13">
                  <c:v>1/10</c:v>
                </c:pt>
                <c:pt idx="14">
                  <c:v>1/11</c:v>
                </c:pt>
                <c:pt idx="15">
                  <c:v>1/12</c:v>
                </c:pt>
                <c:pt idx="16">
                  <c:v>1/13</c:v>
                </c:pt>
                <c:pt idx="17">
                  <c:v>1/14</c:v>
                </c:pt>
                <c:pt idx="18">
                  <c:v>1/15</c:v>
                </c:pt>
                <c:pt idx="19">
                  <c:v>1/16</c:v>
                </c:pt>
                <c:pt idx="20">
                  <c:v>1/17</c:v>
                </c:pt>
                <c:pt idx="21">
                  <c:v>1/18</c:v>
                </c:pt>
                <c:pt idx="22">
                  <c:v>1/19</c:v>
                </c:pt>
                <c:pt idx="23">
                  <c:v>1/20</c:v>
                </c:pt>
                <c:pt idx="24">
                  <c:v>1/21</c:v>
                </c:pt>
                <c:pt idx="25">
                  <c:v>1/22</c:v>
                </c:pt>
                <c:pt idx="26">
                  <c:v>1/23</c:v>
                </c:pt>
                <c:pt idx="27">
                  <c:v>1/24</c:v>
                </c:pt>
                <c:pt idx="28">
                  <c:v>1/25</c:v>
                </c:pt>
                <c:pt idx="29">
                  <c:v>1/26</c:v>
                </c:pt>
                <c:pt idx="30">
                  <c:v>1/27</c:v>
                </c:pt>
                <c:pt idx="31">
                  <c:v>1/28</c:v>
                </c:pt>
              </c:strCache>
              <c:extLst/>
            </c:strRef>
          </c:cat>
          <c:val>
            <c:numRef>
              <c:f>'Active Accounts'!$AK$12:$CO$12</c:f>
              <c:numCache>
                <c:formatCode>#,##0</c:formatCode>
                <c:ptCount val="32"/>
                <c:pt idx="0">
                  <c:v>206310</c:v>
                </c:pt>
                <c:pt idx="1">
                  <c:v>205866</c:v>
                </c:pt>
                <c:pt idx="2">
                  <c:v>205614</c:v>
                </c:pt>
                <c:pt idx="3">
                  <c:v>207030</c:v>
                </c:pt>
                <c:pt idx="4">
                  <c:v>206979</c:v>
                </c:pt>
                <c:pt idx="5">
                  <c:v>209353</c:v>
                </c:pt>
                <c:pt idx="6">
                  <c:v>209144</c:v>
                </c:pt>
                <c:pt idx="7">
                  <c:v>208425</c:v>
                </c:pt>
                <c:pt idx="8">
                  <c:v>208337</c:v>
                </c:pt>
                <c:pt idx="9">
                  <c:v>208592</c:v>
                </c:pt>
                <c:pt idx="10">
                  <c:v>213567</c:v>
                </c:pt>
                <c:pt idx="11">
                  <c:v>215374</c:v>
                </c:pt>
                <c:pt idx="12">
                  <c:v>215122</c:v>
                </c:pt>
                <c:pt idx="13">
                  <c:v>215281</c:v>
                </c:pt>
                <c:pt idx="14">
                  <c:v>214674</c:v>
                </c:pt>
                <c:pt idx="15">
                  <c:v>221225</c:v>
                </c:pt>
                <c:pt idx="16">
                  <c:v>221513</c:v>
                </c:pt>
                <c:pt idx="17">
                  <c:v>223129</c:v>
                </c:pt>
                <c:pt idx="18">
                  <c:v>224415</c:v>
                </c:pt>
                <c:pt idx="19">
                  <c:v>223908</c:v>
                </c:pt>
                <c:pt idx="20">
                  <c:v>224165</c:v>
                </c:pt>
                <c:pt idx="21">
                  <c:v>224017</c:v>
                </c:pt>
                <c:pt idx="22">
                  <c:v>226815</c:v>
                </c:pt>
                <c:pt idx="23">
                  <c:v>230707</c:v>
                </c:pt>
                <c:pt idx="24">
                  <c:v>234954</c:v>
                </c:pt>
                <c:pt idx="25">
                  <c:v>236379</c:v>
                </c:pt>
                <c:pt idx="26">
                  <c:v>236784</c:v>
                </c:pt>
                <c:pt idx="27">
                  <c:v>237146</c:v>
                </c:pt>
                <c:pt idx="28">
                  <c:v>236888</c:v>
                </c:pt>
                <c:pt idx="29">
                  <c:v>236931</c:v>
                </c:pt>
                <c:pt idx="30">
                  <c:v>237462</c:v>
                </c:pt>
                <c:pt idx="31">
                  <c:v>238617</c:v>
                </c:pt>
              </c:numCache>
              <c:extLst/>
            </c:numRef>
          </c:val>
        </c:ser>
        <c:ser>
          <c:idx val="12"/>
          <c:order val="3"/>
          <c:tx>
            <c:strRef>
              <c:f>'Active Accounts'!$B$15</c:f>
              <c:strCache>
                <c:ptCount val="1"/>
                <c:pt idx="0">
                  <c:v>Other </c:v>
                </c:pt>
              </c:strCache>
            </c:strRef>
          </c:tx>
          <c:spPr>
            <a:solidFill>
              <a:schemeClr val="accent6"/>
            </a:solidFill>
            <a:ln>
              <a:noFill/>
            </a:ln>
          </c:spPr>
          <c:invertIfNegative val="0"/>
          <c:cat>
            <c:strRef>
              <c:f>'Active Accounts'!$AK$2:$CO$2</c:f>
              <c:strCache>
                <c:ptCount val="32"/>
                <c:pt idx="0">
                  <c:v>12/28</c:v>
                </c:pt>
                <c:pt idx="1">
                  <c:v>12/29</c:v>
                </c:pt>
                <c:pt idx="2">
                  <c:v>12/30</c:v>
                </c:pt>
                <c:pt idx="3">
                  <c:v>12/31</c:v>
                </c:pt>
                <c:pt idx="4">
                  <c:v>1/1</c:v>
                </c:pt>
                <c:pt idx="5">
                  <c:v>1/2</c:v>
                </c:pt>
                <c:pt idx="6">
                  <c:v>1/3</c:v>
                </c:pt>
                <c:pt idx="7">
                  <c:v>1/4</c:v>
                </c:pt>
                <c:pt idx="8">
                  <c:v>1/5</c:v>
                </c:pt>
                <c:pt idx="9">
                  <c:v>1/6</c:v>
                </c:pt>
                <c:pt idx="10">
                  <c:v>1/7</c:v>
                </c:pt>
                <c:pt idx="11">
                  <c:v>1/8</c:v>
                </c:pt>
                <c:pt idx="12">
                  <c:v>1/9</c:v>
                </c:pt>
                <c:pt idx="13">
                  <c:v>1/10</c:v>
                </c:pt>
                <c:pt idx="14">
                  <c:v>1/11</c:v>
                </c:pt>
                <c:pt idx="15">
                  <c:v>1/12</c:v>
                </c:pt>
                <c:pt idx="16">
                  <c:v>1/13</c:v>
                </c:pt>
                <c:pt idx="17">
                  <c:v>1/14</c:v>
                </c:pt>
                <c:pt idx="18">
                  <c:v>1/15</c:v>
                </c:pt>
                <c:pt idx="19">
                  <c:v>1/16</c:v>
                </c:pt>
                <c:pt idx="20">
                  <c:v>1/17</c:v>
                </c:pt>
                <c:pt idx="21">
                  <c:v>1/18</c:v>
                </c:pt>
                <c:pt idx="22">
                  <c:v>1/19</c:v>
                </c:pt>
                <c:pt idx="23">
                  <c:v>1/20</c:v>
                </c:pt>
                <c:pt idx="24">
                  <c:v>1/21</c:v>
                </c:pt>
                <c:pt idx="25">
                  <c:v>1/22</c:v>
                </c:pt>
                <c:pt idx="26">
                  <c:v>1/23</c:v>
                </c:pt>
                <c:pt idx="27">
                  <c:v>1/24</c:v>
                </c:pt>
                <c:pt idx="28">
                  <c:v>1/25</c:v>
                </c:pt>
                <c:pt idx="29">
                  <c:v>1/26</c:v>
                </c:pt>
                <c:pt idx="30">
                  <c:v>1/27</c:v>
                </c:pt>
                <c:pt idx="31">
                  <c:v>1/28</c:v>
                </c:pt>
              </c:strCache>
              <c:extLst/>
            </c:strRef>
          </c:cat>
          <c:val>
            <c:numRef>
              <c:f>'Active Accounts'!$AK$15:$CO$15</c:f>
              <c:numCache>
                <c:formatCode>#,##0</c:formatCode>
                <c:ptCount val="32"/>
                <c:pt idx="0">
                  <c:v>83947</c:v>
                </c:pt>
                <c:pt idx="1">
                  <c:v>84249</c:v>
                </c:pt>
                <c:pt idx="2">
                  <c:v>85002</c:v>
                </c:pt>
                <c:pt idx="3">
                  <c:v>85393</c:v>
                </c:pt>
                <c:pt idx="4">
                  <c:v>85985</c:v>
                </c:pt>
                <c:pt idx="5">
                  <c:v>86601</c:v>
                </c:pt>
                <c:pt idx="6">
                  <c:v>86932</c:v>
                </c:pt>
                <c:pt idx="7">
                  <c:v>88067</c:v>
                </c:pt>
                <c:pt idx="8">
                  <c:v>88441</c:v>
                </c:pt>
                <c:pt idx="9">
                  <c:v>88810</c:v>
                </c:pt>
                <c:pt idx="10">
                  <c:v>89576</c:v>
                </c:pt>
                <c:pt idx="11">
                  <c:v>90393</c:v>
                </c:pt>
                <c:pt idx="12">
                  <c:v>90880</c:v>
                </c:pt>
                <c:pt idx="13">
                  <c:v>91604</c:v>
                </c:pt>
                <c:pt idx="14">
                  <c:v>92501</c:v>
                </c:pt>
                <c:pt idx="15">
                  <c:v>93040</c:v>
                </c:pt>
                <c:pt idx="16">
                  <c:v>93773</c:v>
                </c:pt>
                <c:pt idx="17">
                  <c:v>94602</c:v>
                </c:pt>
                <c:pt idx="18">
                  <c:v>95488</c:v>
                </c:pt>
                <c:pt idx="19">
                  <c:v>96133</c:v>
                </c:pt>
                <c:pt idx="20">
                  <c:v>96982</c:v>
                </c:pt>
                <c:pt idx="21">
                  <c:v>97552</c:v>
                </c:pt>
                <c:pt idx="22">
                  <c:v>98082</c:v>
                </c:pt>
                <c:pt idx="23">
                  <c:v>98815</c:v>
                </c:pt>
                <c:pt idx="24">
                  <c:v>99380</c:v>
                </c:pt>
                <c:pt idx="25">
                  <c:v>100088</c:v>
                </c:pt>
                <c:pt idx="26">
                  <c:v>100828</c:v>
                </c:pt>
                <c:pt idx="27">
                  <c:v>101526</c:v>
                </c:pt>
                <c:pt idx="28">
                  <c:v>109017</c:v>
                </c:pt>
                <c:pt idx="29">
                  <c:v>102341</c:v>
                </c:pt>
                <c:pt idx="30">
                  <c:v>103868</c:v>
                </c:pt>
                <c:pt idx="31">
                  <c:v>104473</c:v>
                </c:pt>
              </c:numCache>
              <c:extLst/>
            </c:numRef>
          </c:val>
        </c:ser>
        <c:dLbls>
          <c:showLegendKey val="0"/>
          <c:showVal val="0"/>
          <c:showCatName val="0"/>
          <c:showSerName val="0"/>
          <c:showPercent val="0"/>
          <c:showBubbleSize val="0"/>
        </c:dLbls>
        <c:gapWidth val="36"/>
        <c:overlap val="100"/>
        <c:axId val="114534272"/>
        <c:axId val="114535808"/>
        <c:extLst>
          <c:ext xmlns:c15="http://schemas.microsoft.com/office/drawing/2012/chart" uri="{02D57815-91ED-43cb-92C2-25804820EDAC}">
            <c15:filteredBarSeries>
              <c15:ser>
                <c:idx val="9"/>
                <c:order val="4"/>
                <c:tx>
                  <c:strRef>
                    <c:extLst>
                      <c:ext uri="{02D57815-91ED-43cb-92C2-25804820EDAC}">
                        <c15:formulaRef>
                          <c15:sqref>'Active Accounts'!$B$5</c15:sqref>
                        </c15:formulaRef>
                      </c:ext>
                    </c:extLst>
                    <c:strCache>
                      <c:ptCount val="1"/>
                      <c:pt idx="0">
                        <c:v>Senior</c:v>
                      </c:pt>
                    </c:strCache>
                  </c:strRef>
                </c:tx>
                <c:spPr>
                  <a:solidFill>
                    <a:schemeClr val="accent3"/>
                  </a:solidFill>
                </c:spPr>
                <c:invertIfNegative val="0"/>
                <c:cat>
                  <c:strRef>
                    <c:extLst>
                      <c:ext uri="{02D57815-91ED-43cb-92C2-25804820EDAC}">
                        <c15:formulaRef>
                          <c15:sqref>'Active Accounts'!$AK$2:$CO$2</c15:sqref>
                        </c15:formulaRef>
                      </c:ext>
                    </c:extLst>
                    <c:strCache>
                      <c:ptCount val="32"/>
                      <c:pt idx="0">
                        <c:v>12/28</c:v>
                      </c:pt>
                      <c:pt idx="1">
                        <c:v>12/29</c:v>
                      </c:pt>
                      <c:pt idx="2">
                        <c:v>12/30</c:v>
                      </c:pt>
                      <c:pt idx="3">
                        <c:v>12/31</c:v>
                      </c:pt>
                      <c:pt idx="4">
                        <c:v>1/1</c:v>
                      </c:pt>
                      <c:pt idx="5">
                        <c:v>1/2</c:v>
                      </c:pt>
                      <c:pt idx="6">
                        <c:v>1/3</c:v>
                      </c:pt>
                      <c:pt idx="7">
                        <c:v>1/4</c:v>
                      </c:pt>
                      <c:pt idx="8">
                        <c:v>1/5</c:v>
                      </c:pt>
                      <c:pt idx="9">
                        <c:v>1/6</c:v>
                      </c:pt>
                      <c:pt idx="10">
                        <c:v>1/7</c:v>
                      </c:pt>
                      <c:pt idx="11">
                        <c:v>1/8</c:v>
                      </c:pt>
                      <c:pt idx="12">
                        <c:v>1/9</c:v>
                      </c:pt>
                      <c:pt idx="13">
                        <c:v>1/10</c:v>
                      </c:pt>
                      <c:pt idx="14">
                        <c:v>1/11</c:v>
                      </c:pt>
                      <c:pt idx="15">
                        <c:v>1/12</c:v>
                      </c:pt>
                      <c:pt idx="16">
                        <c:v>1/13</c:v>
                      </c:pt>
                      <c:pt idx="17">
                        <c:v>1/14</c:v>
                      </c:pt>
                      <c:pt idx="18">
                        <c:v>1/15</c:v>
                      </c:pt>
                      <c:pt idx="19">
                        <c:v>1/16</c:v>
                      </c:pt>
                      <c:pt idx="20">
                        <c:v>1/17</c:v>
                      </c:pt>
                      <c:pt idx="21">
                        <c:v>1/18</c:v>
                      </c:pt>
                      <c:pt idx="22">
                        <c:v>1/19</c:v>
                      </c:pt>
                      <c:pt idx="23">
                        <c:v>1/20</c:v>
                      </c:pt>
                      <c:pt idx="24">
                        <c:v>1/21</c:v>
                      </c:pt>
                      <c:pt idx="25">
                        <c:v>1/22</c:v>
                      </c:pt>
                      <c:pt idx="26">
                        <c:v>1/23</c:v>
                      </c:pt>
                      <c:pt idx="27">
                        <c:v>1/24</c:v>
                      </c:pt>
                      <c:pt idx="28">
                        <c:v>1/25</c:v>
                      </c:pt>
                      <c:pt idx="29">
                        <c:v>1/26</c:v>
                      </c:pt>
                      <c:pt idx="30">
                        <c:v>1/27</c:v>
                      </c:pt>
                      <c:pt idx="31">
                        <c:v>1/28</c:v>
                      </c:pt>
                    </c:strCache>
                  </c:strRef>
                </c:cat>
                <c:val>
                  <c:numRef>
                    <c:extLst>
                      <c:ext uri="{02D57815-91ED-43cb-92C2-25804820EDAC}">
                        <c15:formulaRef>
                          <c15:sqref>'Active Accounts'!$C$5:$AR$5</c15:sqref>
                        </c15:formulaRef>
                      </c:ext>
                    </c:extLst>
                    <c:numCache>
                      <c:formatCode>_(* #,##0_);_(* \(#,##0\);_(* "-"??_);_(@_)</c:formatCode>
                      <c:ptCount val="17"/>
                      <c:pt idx="0">
                        <c:v>122100</c:v>
                      </c:pt>
                      <c:pt idx="1">
                        <c:v>122110</c:v>
                      </c:pt>
                      <c:pt idx="2">
                        <c:v>122200</c:v>
                      </c:pt>
                      <c:pt idx="3">
                        <c:v>123084</c:v>
                      </c:pt>
                      <c:pt idx="4">
                        <c:v>126181</c:v>
                      </c:pt>
                      <c:pt idx="5">
                        <c:v>126183</c:v>
                      </c:pt>
                      <c:pt idx="6">
                        <c:v>126241</c:v>
                      </c:pt>
                      <c:pt idx="7">
                        <c:v>126319</c:v>
                      </c:pt>
                      <c:pt idx="8">
                        <c:v>126224</c:v>
                      </c:pt>
                      <c:pt idx="9">
                        <c:v>127533</c:v>
                      </c:pt>
                      <c:pt idx="10">
                        <c:v>128364</c:v>
                      </c:pt>
                      <c:pt idx="11">
                        <c:v>128824</c:v>
                      </c:pt>
                      <c:pt idx="12">
                        <c:v>129540</c:v>
                      </c:pt>
                      <c:pt idx="13">
                        <c:v>130553</c:v>
                      </c:pt>
                      <c:pt idx="14" formatCode="#,##0">
                        <c:v>130741</c:v>
                      </c:pt>
                      <c:pt idx="15">
                        <c:v>131006</c:v>
                      </c:pt>
                      <c:pt idx="16">
                        <c:v>131942</c:v>
                      </c:pt>
                    </c:numCache>
                  </c:numRef>
                </c:val>
              </c15:ser>
            </c15:filteredBarSeries>
            <c15:filteredBarSeries>
              <c15:ser>
                <c:idx val="11"/>
                <c:order val="5"/>
                <c:tx>
                  <c:strRef>
                    <c:extLst xmlns:c15="http://schemas.microsoft.com/office/drawing/2012/chart">
                      <c:ext xmlns:c15="http://schemas.microsoft.com/office/drawing/2012/chart" uri="{02D57815-91ED-43cb-92C2-25804820EDAC}">
                        <c15:formulaRef>
                          <c15:sqref>'Active Accounts'!$B$6</c15:sqref>
                        </c15:formulaRef>
                      </c:ext>
                    </c:extLst>
                    <c:strCache>
                      <c:ptCount val="1"/>
                      <c:pt idx="0">
                        <c:v>Disabled</c:v>
                      </c:pt>
                    </c:strCache>
                  </c:strRef>
                </c:tx>
                <c:invertIfNegative val="0"/>
                <c:cat>
                  <c:strRef>
                    <c:extLst xmlns:c15="http://schemas.microsoft.com/office/drawing/2012/chart">
                      <c:ext xmlns:c15="http://schemas.microsoft.com/office/drawing/2012/chart" uri="{02D57815-91ED-43cb-92C2-25804820EDAC}">
                        <c15:formulaRef>
                          <c15:sqref>'Active Accounts'!$AK$2:$CO$2</c15:sqref>
                        </c15:formulaRef>
                      </c:ext>
                    </c:extLst>
                    <c:strCache>
                      <c:ptCount val="32"/>
                      <c:pt idx="0">
                        <c:v>12/28</c:v>
                      </c:pt>
                      <c:pt idx="1">
                        <c:v>12/29</c:v>
                      </c:pt>
                      <c:pt idx="2">
                        <c:v>12/30</c:v>
                      </c:pt>
                      <c:pt idx="3">
                        <c:v>12/31</c:v>
                      </c:pt>
                      <c:pt idx="4">
                        <c:v>1/1</c:v>
                      </c:pt>
                      <c:pt idx="5">
                        <c:v>1/2</c:v>
                      </c:pt>
                      <c:pt idx="6">
                        <c:v>1/3</c:v>
                      </c:pt>
                      <c:pt idx="7">
                        <c:v>1/4</c:v>
                      </c:pt>
                      <c:pt idx="8">
                        <c:v>1/5</c:v>
                      </c:pt>
                      <c:pt idx="9">
                        <c:v>1/6</c:v>
                      </c:pt>
                      <c:pt idx="10">
                        <c:v>1/7</c:v>
                      </c:pt>
                      <c:pt idx="11">
                        <c:v>1/8</c:v>
                      </c:pt>
                      <c:pt idx="12">
                        <c:v>1/9</c:v>
                      </c:pt>
                      <c:pt idx="13">
                        <c:v>1/10</c:v>
                      </c:pt>
                      <c:pt idx="14">
                        <c:v>1/11</c:v>
                      </c:pt>
                      <c:pt idx="15">
                        <c:v>1/12</c:v>
                      </c:pt>
                      <c:pt idx="16">
                        <c:v>1/13</c:v>
                      </c:pt>
                      <c:pt idx="17">
                        <c:v>1/14</c:v>
                      </c:pt>
                      <c:pt idx="18">
                        <c:v>1/15</c:v>
                      </c:pt>
                      <c:pt idx="19">
                        <c:v>1/16</c:v>
                      </c:pt>
                      <c:pt idx="20">
                        <c:v>1/17</c:v>
                      </c:pt>
                      <c:pt idx="21">
                        <c:v>1/18</c:v>
                      </c:pt>
                      <c:pt idx="22">
                        <c:v>1/19</c:v>
                      </c:pt>
                      <c:pt idx="23">
                        <c:v>1/20</c:v>
                      </c:pt>
                      <c:pt idx="24">
                        <c:v>1/21</c:v>
                      </c:pt>
                      <c:pt idx="25">
                        <c:v>1/22</c:v>
                      </c:pt>
                      <c:pt idx="26">
                        <c:v>1/23</c:v>
                      </c:pt>
                      <c:pt idx="27">
                        <c:v>1/24</c:v>
                      </c:pt>
                      <c:pt idx="28">
                        <c:v>1/25</c:v>
                      </c:pt>
                      <c:pt idx="29">
                        <c:v>1/26</c:v>
                      </c:pt>
                      <c:pt idx="30">
                        <c:v>1/27</c:v>
                      </c:pt>
                      <c:pt idx="31">
                        <c:v>1/28</c:v>
                      </c:pt>
                    </c:strCache>
                  </c:strRef>
                </c:cat>
                <c:val>
                  <c:numRef>
                    <c:extLst xmlns:c15="http://schemas.microsoft.com/office/drawing/2012/chart">
                      <c:ext xmlns:c15="http://schemas.microsoft.com/office/drawing/2012/chart" uri="{02D57815-91ED-43cb-92C2-25804820EDAC}">
                        <c15:formulaRef>
                          <c15:sqref>'Active Accounts'!$C$6:$AR$6</c15:sqref>
                        </c15:formulaRef>
                      </c:ext>
                    </c:extLst>
                    <c:numCache>
                      <c:formatCode>_(* #,##0_);_(* \(#,##0\);_(* "-"??_);_(@_)</c:formatCode>
                      <c:ptCount val="17"/>
                      <c:pt idx="0">
                        <c:v>6747</c:v>
                      </c:pt>
                      <c:pt idx="1">
                        <c:v>6747</c:v>
                      </c:pt>
                      <c:pt idx="2">
                        <c:v>6748</c:v>
                      </c:pt>
                      <c:pt idx="3">
                        <c:v>6744</c:v>
                      </c:pt>
                      <c:pt idx="4">
                        <c:v>6875</c:v>
                      </c:pt>
                      <c:pt idx="5">
                        <c:v>6875</c:v>
                      </c:pt>
                      <c:pt idx="6">
                        <c:v>6876</c:v>
                      </c:pt>
                      <c:pt idx="7">
                        <c:v>6880</c:v>
                      </c:pt>
                      <c:pt idx="8">
                        <c:v>6875</c:v>
                      </c:pt>
                      <c:pt idx="9">
                        <c:v>6908</c:v>
                      </c:pt>
                      <c:pt idx="10">
                        <c:v>6929</c:v>
                      </c:pt>
                      <c:pt idx="11">
                        <c:v>6927</c:v>
                      </c:pt>
                      <c:pt idx="12">
                        <c:v>6946</c:v>
                      </c:pt>
                      <c:pt idx="13">
                        <c:v>6970</c:v>
                      </c:pt>
                      <c:pt idx="14">
                        <c:v>6967</c:v>
                      </c:pt>
                      <c:pt idx="15">
                        <c:v>6976</c:v>
                      </c:pt>
                      <c:pt idx="16">
                        <c:v>7003</c:v>
                      </c:pt>
                    </c:numCache>
                  </c:numRef>
                </c:val>
              </c15:ser>
            </c15:filteredBarSeries>
            <c15:filteredBarSeries>
              <c15:ser>
                <c:idx val="2"/>
                <c:order val="6"/>
                <c:tx>
                  <c:strRef>
                    <c:extLst xmlns:c15="http://schemas.microsoft.com/office/drawing/2012/chart">
                      <c:ext xmlns:c15="http://schemas.microsoft.com/office/drawing/2012/chart" uri="{02D57815-91ED-43cb-92C2-25804820EDAC}">
                        <c15:formulaRef>
                          <c15:sqref>'Active Accounts'!$B$7</c15:sqref>
                        </c15:formulaRef>
                      </c:ext>
                    </c:extLst>
                    <c:strCache>
                      <c:ptCount val="1"/>
                      <c:pt idx="0">
                        <c:v>Paratransit</c:v>
                      </c:pt>
                    </c:strCache>
                  </c:strRef>
                </c:tx>
                <c:invertIfNegative val="0"/>
                <c:cat>
                  <c:strRef>
                    <c:extLst xmlns:c15="http://schemas.microsoft.com/office/drawing/2012/chart">
                      <c:ext xmlns:c15="http://schemas.microsoft.com/office/drawing/2012/chart" uri="{02D57815-91ED-43cb-92C2-25804820EDAC}">
                        <c15:formulaRef>
                          <c15:sqref>'Active Accounts'!$AK$2:$CO$2</c15:sqref>
                        </c15:formulaRef>
                      </c:ext>
                    </c:extLst>
                    <c:strCache>
                      <c:ptCount val="32"/>
                      <c:pt idx="0">
                        <c:v>12/28</c:v>
                      </c:pt>
                      <c:pt idx="1">
                        <c:v>12/29</c:v>
                      </c:pt>
                      <c:pt idx="2">
                        <c:v>12/30</c:v>
                      </c:pt>
                      <c:pt idx="3">
                        <c:v>12/31</c:v>
                      </c:pt>
                      <c:pt idx="4">
                        <c:v>1/1</c:v>
                      </c:pt>
                      <c:pt idx="5">
                        <c:v>1/2</c:v>
                      </c:pt>
                      <c:pt idx="6">
                        <c:v>1/3</c:v>
                      </c:pt>
                      <c:pt idx="7">
                        <c:v>1/4</c:v>
                      </c:pt>
                      <c:pt idx="8">
                        <c:v>1/5</c:v>
                      </c:pt>
                      <c:pt idx="9">
                        <c:v>1/6</c:v>
                      </c:pt>
                      <c:pt idx="10">
                        <c:v>1/7</c:v>
                      </c:pt>
                      <c:pt idx="11">
                        <c:v>1/8</c:v>
                      </c:pt>
                      <c:pt idx="12">
                        <c:v>1/9</c:v>
                      </c:pt>
                      <c:pt idx="13">
                        <c:v>1/10</c:v>
                      </c:pt>
                      <c:pt idx="14">
                        <c:v>1/11</c:v>
                      </c:pt>
                      <c:pt idx="15">
                        <c:v>1/12</c:v>
                      </c:pt>
                      <c:pt idx="16">
                        <c:v>1/13</c:v>
                      </c:pt>
                      <c:pt idx="17">
                        <c:v>1/14</c:v>
                      </c:pt>
                      <c:pt idx="18">
                        <c:v>1/15</c:v>
                      </c:pt>
                      <c:pt idx="19">
                        <c:v>1/16</c:v>
                      </c:pt>
                      <c:pt idx="20">
                        <c:v>1/17</c:v>
                      </c:pt>
                      <c:pt idx="21">
                        <c:v>1/18</c:v>
                      </c:pt>
                      <c:pt idx="22">
                        <c:v>1/19</c:v>
                      </c:pt>
                      <c:pt idx="23">
                        <c:v>1/20</c:v>
                      </c:pt>
                      <c:pt idx="24">
                        <c:v>1/21</c:v>
                      </c:pt>
                      <c:pt idx="25">
                        <c:v>1/22</c:v>
                      </c:pt>
                      <c:pt idx="26">
                        <c:v>1/23</c:v>
                      </c:pt>
                      <c:pt idx="27">
                        <c:v>1/24</c:v>
                      </c:pt>
                      <c:pt idx="28">
                        <c:v>1/25</c:v>
                      </c:pt>
                      <c:pt idx="29">
                        <c:v>1/26</c:v>
                      </c:pt>
                      <c:pt idx="30">
                        <c:v>1/27</c:v>
                      </c:pt>
                      <c:pt idx="31">
                        <c:v>1/28</c:v>
                      </c:pt>
                    </c:strCache>
                  </c:strRef>
                </c:cat>
                <c:val>
                  <c:numRef>
                    <c:extLst xmlns:c15="http://schemas.microsoft.com/office/drawing/2012/chart">
                      <c:ext xmlns:c15="http://schemas.microsoft.com/office/drawing/2012/chart" uri="{02D57815-91ED-43cb-92C2-25804820EDAC}">
                        <c15:formulaRef>
                          <c15:sqref>'Active Accounts'!$C$7:$AR$7</c15:sqref>
                        </c15:formulaRef>
                      </c:ext>
                    </c:extLst>
                    <c:numCache>
                      <c:formatCode>_(* #,##0_);_(* \(#,##0\);_(* "-"??_);_(@_)</c:formatCode>
                      <c:ptCount val="17"/>
                      <c:pt idx="0">
                        <c:v>18391</c:v>
                      </c:pt>
                      <c:pt idx="1">
                        <c:v>18391</c:v>
                      </c:pt>
                      <c:pt idx="2">
                        <c:v>18394</c:v>
                      </c:pt>
                      <c:pt idx="3">
                        <c:v>18458</c:v>
                      </c:pt>
                      <c:pt idx="4">
                        <c:v>18938</c:v>
                      </c:pt>
                      <c:pt idx="5">
                        <c:v>18938</c:v>
                      </c:pt>
                      <c:pt idx="6">
                        <c:v>18939</c:v>
                      </c:pt>
                      <c:pt idx="7">
                        <c:v>18941</c:v>
                      </c:pt>
                      <c:pt idx="8">
                        <c:v>18921</c:v>
                      </c:pt>
                      <c:pt idx="9">
                        <c:v>19046</c:v>
                      </c:pt>
                      <c:pt idx="10">
                        <c:v>19106</c:v>
                      </c:pt>
                      <c:pt idx="11">
                        <c:v>19149</c:v>
                      </c:pt>
                      <c:pt idx="12">
                        <c:v>19253</c:v>
                      </c:pt>
                      <c:pt idx="13">
                        <c:v>19374</c:v>
                      </c:pt>
                      <c:pt idx="14">
                        <c:v>19400</c:v>
                      </c:pt>
                      <c:pt idx="15">
                        <c:v>19437</c:v>
                      </c:pt>
                      <c:pt idx="16">
                        <c:v>19582</c:v>
                      </c:pt>
                    </c:numCache>
                  </c:numRef>
                </c:val>
              </c15:ser>
            </c15:filteredBarSeries>
            <c15:filteredBarSeries>
              <c15:ser>
                <c:idx val="3"/>
                <c:order val="7"/>
                <c:tx>
                  <c:strRef>
                    <c:extLst xmlns:c15="http://schemas.microsoft.com/office/drawing/2012/chart">
                      <c:ext xmlns:c15="http://schemas.microsoft.com/office/drawing/2012/chart" uri="{02D57815-91ED-43cb-92C2-25804820EDAC}">
                        <c15:formulaRef>
                          <c15:sqref>'Active Accounts'!$B$8</c15:sqref>
                        </c15:formulaRef>
                      </c:ext>
                    </c:extLst>
                    <c:strCache>
                      <c:ptCount val="1"/>
                      <c:pt idx="0">
                        <c:v>Senior Ride Free</c:v>
                      </c:pt>
                    </c:strCache>
                  </c:strRef>
                </c:tx>
                <c:invertIfNegative val="0"/>
                <c:cat>
                  <c:strRef>
                    <c:extLst xmlns:c15="http://schemas.microsoft.com/office/drawing/2012/chart">
                      <c:ext xmlns:c15="http://schemas.microsoft.com/office/drawing/2012/chart" uri="{02D57815-91ED-43cb-92C2-25804820EDAC}">
                        <c15:formulaRef>
                          <c15:sqref>'Active Accounts'!$AK$2:$CO$2</c15:sqref>
                        </c15:formulaRef>
                      </c:ext>
                    </c:extLst>
                    <c:strCache>
                      <c:ptCount val="32"/>
                      <c:pt idx="0">
                        <c:v>12/28</c:v>
                      </c:pt>
                      <c:pt idx="1">
                        <c:v>12/29</c:v>
                      </c:pt>
                      <c:pt idx="2">
                        <c:v>12/30</c:v>
                      </c:pt>
                      <c:pt idx="3">
                        <c:v>12/31</c:v>
                      </c:pt>
                      <c:pt idx="4">
                        <c:v>1/1</c:v>
                      </c:pt>
                      <c:pt idx="5">
                        <c:v>1/2</c:v>
                      </c:pt>
                      <c:pt idx="6">
                        <c:v>1/3</c:v>
                      </c:pt>
                      <c:pt idx="7">
                        <c:v>1/4</c:v>
                      </c:pt>
                      <c:pt idx="8">
                        <c:v>1/5</c:v>
                      </c:pt>
                      <c:pt idx="9">
                        <c:v>1/6</c:v>
                      </c:pt>
                      <c:pt idx="10">
                        <c:v>1/7</c:v>
                      </c:pt>
                      <c:pt idx="11">
                        <c:v>1/8</c:v>
                      </c:pt>
                      <c:pt idx="12">
                        <c:v>1/9</c:v>
                      </c:pt>
                      <c:pt idx="13">
                        <c:v>1/10</c:v>
                      </c:pt>
                      <c:pt idx="14">
                        <c:v>1/11</c:v>
                      </c:pt>
                      <c:pt idx="15">
                        <c:v>1/12</c:v>
                      </c:pt>
                      <c:pt idx="16">
                        <c:v>1/13</c:v>
                      </c:pt>
                      <c:pt idx="17">
                        <c:v>1/14</c:v>
                      </c:pt>
                      <c:pt idx="18">
                        <c:v>1/15</c:v>
                      </c:pt>
                      <c:pt idx="19">
                        <c:v>1/16</c:v>
                      </c:pt>
                      <c:pt idx="20">
                        <c:v>1/17</c:v>
                      </c:pt>
                      <c:pt idx="21">
                        <c:v>1/18</c:v>
                      </c:pt>
                      <c:pt idx="22">
                        <c:v>1/19</c:v>
                      </c:pt>
                      <c:pt idx="23">
                        <c:v>1/20</c:v>
                      </c:pt>
                      <c:pt idx="24">
                        <c:v>1/21</c:v>
                      </c:pt>
                      <c:pt idx="25">
                        <c:v>1/22</c:v>
                      </c:pt>
                      <c:pt idx="26">
                        <c:v>1/23</c:v>
                      </c:pt>
                      <c:pt idx="27">
                        <c:v>1/24</c:v>
                      </c:pt>
                      <c:pt idx="28">
                        <c:v>1/25</c:v>
                      </c:pt>
                      <c:pt idx="29">
                        <c:v>1/26</c:v>
                      </c:pt>
                      <c:pt idx="30">
                        <c:v>1/27</c:v>
                      </c:pt>
                      <c:pt idx="31">
                        <c:v>1/28</c:v>
                      </c:pt>
                    </c:strCache>
                  </c:strRef>
                </c:cat>
                <c:val>
                  <c:numRef>
                    <c:extLst xmlns:c15="http://schemas.microsoft.com/office/drawing/2012/chart">
                      <c:ext xmlns:c15="http://schemas.microsoft.com/office/drawing/2012/chart" uri="{02D57815-91ED-43cb-92C2-25804820EDAC}">
                        <c15:formulaRef>
                          <c15:sqref>'Active Accounts'!$C$8:$AR$8</c15:sqref>
                        </c15:formulaRef>
                      </c:ext>
                    </c:extLst>
                    <c:numCache>
                      <c:formatCode>_(* #,##0_);_(* \(#,##0\);_(* "-"??_);_(@_)</c:formatCode>
                      <c:ptCount val="17"/>
                      <c:pt idx="0">
                        <c:v>29406</c:v>
                      </c:pt>
                      <c:pt idx="1">
                        <c:v>29408</c:v>
                      </c:pt>
                      <c:pt idx="2">
                        <c:v>29567</c:v>
                      </c:pt>
                      <c:pt idx="3">
                        <c:v>33260</c:v>
                      </c:pt>
                      <c:pt idx="4">
                        <c:v>41348</c:v>
                      </c:pt>
                      <c:pt idx="5">
                        <c:v>41351</c:v>
                      </c:pt>
                      <c:pt idx="6">
                        <c:v>41381</c:v>
                      </c:pt>
                      <c:pt idx="7">
                        <c:v>41547</c:v>
                      </c:pt>
                      <c:pt idx="8">
                        <c:v>41211</c:v>
                      </c:pt>
                      <c:pt idx="9">
                        <c:v>43305</c:v>
                      </c:pt>
                      <c:pt idx="10">
                        <c:v>44542</c:v>
                      </c:pt>
                      <c:pt idx="11">
                        <c:v>45138</c:v>
                      </c:pt>
                      <c:pt idx="12">
                        <c:v>46083</c:v>
                      </c:pt>
                      <c:pt idx="13">
                        <c:v>47268</c:v>
                      </c:pt>
                      <c:pt idx="14">
                        <c:v>47494</c:v>
                      </c:pt>
                      <c:pt idx="15">
                        <c:v>47749</c:v>
                      </c:pt>
                      <c:pt idx="16">
                        <c:v>48618</c:v>
                      </c:pt>
                    </c:numCache>
                  </c:numRef>
                </c:val>
              </c15:ser>
            </c15:filteredBarSeries>
            <c15:filteredBarSeries>
              <c15:ser>
                <c:idx val="4"/>
                <c:order val="8"/>
                <c:tx>
                  <c:strRef>
                    <c:extLst xmlns:c15="http://schemas.microsoft.com/office/drawing/2012/chart">
                      <c:ext xmlns:c15="http://schemas.microsoft.com/office/drawing/2012/chart" uri="{02D57815-91ED-43cb-92C2-25804820EDAC}">
                        <c15:formulaRef>
                          <c15:sqref>'Active Accounts'!$B$9</c15:sqref>
                        </c15:formulaRef>
                      </c:ext>
                    </c:extLst>
                    <c:strCache>
                      <c:ptCount val="1"/>
                      <c:pt idx="0">
                        <c:v>Disabled Ride Free</c:v>
                      </c:pt>
                    </c:strCache>
                  </c:strRef>
                </c:tx>
                <c:invertIfNegative val="0"/>
                <c:cat>
                  <c:strRef>
                    <c:extLst xmlns:c15="http://schemas.microsoft.com/office/drawing/2012/chart">
                      <c:ext xmlns:c15="http://schemas.microsoft.com/office/drawing/2012/chart" uri="{02D57815-91ED-43cb-92C2-25804820EDAC}">
                        <c15:formulaRef>
                          <c15:sqref>'Active Accounts'!$AK$2:$CO$2</c15:sqref>
                        </c15:formulaRef>
                      </c:ext>
                    </c:extLst>
                    <c:strCache>
                      <c:ptCount val="32"/>
                      <c:pt idx="0">
                        <c:v>12/28</c:v>
                      </c:pt>
                      <c:pt idx="1">
                        <c:v>12/29</c:v>
                      </c:pt>
                      <c:pt idx="2">
                        <c:v>12/30</c:v>
                      </c:pt>
                      <c:pt idx="3">
                        <c:v>12/31</c:v>
                      </c:pt>
                      <c:pt idx="4">
                        <c:v>1/1</c:v>
                      </c:pt>
                      <c:pt idx="5">
                        <c:v>1/2</c:v>
                      </c:pt>
                      <c:pt idx="6">
                        <c:v>1/3</c:v>
                      </c:pt>
                      <c:pt idx="7">
                        <c:v>1/4</c:v>
                      </c:pt>
                      <c:pt idx="8">
                        <c:v>1/5</c:v>
                      </c:pt>
                      <c:pt idx="9">
                        <c:v>1/6</c:v>
                      </c:pt>
                      <c:pt idx="10">
                        <c:v>1/7</c:v>
                      </c:pt>
                      <c:pt idx="11">
                        <c:v>1/8</c:v>
                      </c:pt>
                      <c:pt idx="12">
                        <c:v>1/9</c:v>
                      </c:pt>
                      <c:pt idx="13">
                        <c:v>1/10</c:v>
                      </c:pt>
                      <c:pt idx="14">
                        <c:v>1/11</c:v>
                      </c:pt>
                      <c:pt idx="15">
                        <c:v>1/12</c:v>
                      </c:pt>
                      <c:pt idx="16">
                        <c:v>1/13</c:v>
                      </c:pt>
                      <c:pt idx="17">
                        <c:v>1/14</c:v>
                      </c:pt>
                      <c:pt idx="18">
                        <c:v>1/15</c:v>
                      </c:pt>
                      <c:pt idx="19">
                        <c:v>1/16</c:v>
                      </c:pt>
                      <c:pt idx="20">
                        <c:v>1/17</c:v>
                      </c:pt>
                      <c:pt idx="21">
                        <c:v>1/18</c:v>
                      </c:pt>
                      <c:pt idx="22">
                        <c:v>1/19</c:v>
                      </c:pt>
                      <c:pt idx="23">
                        <c:v>1/20</c:v>
                      </c:pt>
                      <c:pt idx="24">
                        <c:v>1/21</c:v>
                      </c:pt>
                      <c:pt idx="25">
                        <c:v>1/22</c:v>
                      </c:pt>
                      <c:pt idx="26">
                        <c:v>1/23</c:v>
                      </c:pt>
                      <c:pt idx="27">
                        <c:v>1/24</c:v>
                      </c:pt>
                      <c:pt idx="28">
                        <c:v>1/25</c:v>
                      </c:pt>
                      <c:pt idx="29">
                        <c:v>1/26</c:v>
                      </c:pt>
                      <c:pt idx="30">
                        <c:v>1/27</c:v>
                      </c:pt>
                      <c:pt idx="31">
                        <c:v>1/28</c:v>
                      </c:pt>
                    </c:strCache>
                  </c:strRef>
                </c:cat>
                <c:val>
                  <c:numRef>
                    <c:extLst xmlns:c15="http://schemas.microsoft.com/office/drawing/2012/chart">
                      <c:ext xmlns:c15="http://schemas.microsoft.com/office/drawing/2012/chart" uri="{02D57815-91ED-43cb-92C2-25804820EDAC}">
                        <c15:formulaRef>
                          <c15:sqref>'Active Accounts'!$C$9:$AR$9</c15:sqref>
                        </c15:formulaRef>
                      </c:ext>
                    </c:extLst>
                    <c:numCache>
                      <c:formatCode>_(* #,##0_);_(* \(#,##0\);_(* "-"??_);_(@_)</c:formatCode>
                      <c:ptCount val="17"/>
                      <c:pt idx="0">
                        <c:v>9921</c:v>
                      </c:pt>
                      <c:pt idx="1">
                        <c:v>9921</c:v>
                      </c:pt>
                      <c:pt idx="2">
                        <c:v>9930</c:v>
                      </c:pt>
                      <c:pt idx="3">
                        <c:v>10005</c:v>
                      </c:pt>
                      <c:pt idx="4">
                        <c:v>17972</c:v>
                      </c:pt>
                      <c:pt idx="5">
                        <c:v>17971</c:v>
                      </c:pt>
                      <c:pt idx="6">
                        <c:v>18092</c:v>
                      </c:pt>
                      <c:pt idx="7">
                        <c:v>19245</c:v>
                      </c:pt>
                      <c:pt idx="8">
                        <c:v>18959</c:v>
                      </c:pt>
                      <c:pt idx="9">
                        <c:v>20736</c:v>
                      </c:pt>
                      <c:pt idx="10">
                        <c:v>22882</c:v>
                      </c:pt>
                      <c:pt idx="11">
                        <c:v>25869</c:v>
                      </c:pt>
                      <c:pt idx="12">
                        <c:v>27880</c:v>
                      </c:pt>
                      <c:pt idx="13">
                        <c:v>29664</c:v>
                      </c:pt>
                      <c:pt idx="14">
                        <c:v>30036</c:v>
                      </c:pt>
                      <c:pt idx="15">
                        <c:v>30429</c:v>
                      </c:pt>
                      <c:pt idx="16">
                        <c:v>31332</c:v>
                      </c:pt>
                    </c:numCache>
                  </c:numRef>
                </c:val>
              </c15:ser>
            </c15:filteredBarSeries>
            <c15:filteredBarSeries>
              <c15:ser>
                <c:idx val="5"/>
                <c:order val="9"/>
                <c:tx>
                  <c:strRef>
                    <c:extLst xmlns:c15="http://schemas.microsoft.com/office/drawing/2012/chart">
                      <c:ext xmlns:c15="http://schemas.microsoft.com/office/drawing/2012/chart" uri="{02D57815-91ED-43cb-92C2-25804820EDAC}">
                        <c15:formulaRef>
                          <c15:sqref>'Active Accounts'!$B$10</c15:sqref>
                        </c15:formulaRef>
                      </c:ext>
                    </c:extLst>
                    <c:strCache>
                      <c:ptCount val="1"/>
                      <c:pt idx="0">
                        <c:v>Student</c:v>
                      </c:pt>
                    </c:strCache>
                  </c:strRef>
                </c:tx>
                <c:invertIfNegative val="0"/>
                <c:cat>
                  <c:strRef>
                    <c:extLst xmlns:c15="http://schemas.microsoft.com/office/drawing/2012/chart">
                      <c:ext xmlns:c15="http://schemas.microsoft.com/office/drawing/2012/chart" uri="{02D57815-91ED-43cb-92C2-25804820EDAC}">
                        <c15:formulaRef>
                          <c15:sqref>'Active Accounts'!$AK$2:$CO$2</c15:sqref>
                        </c15:formulaRef>
                      </c:ext>
                    </c:extLst>
                    <c:strCache>
                      <c:ptCount val="32"/>
                      <c:pt idx="0">
                        <c:v>12/28</c:v>
                      </c:pt>
                      <c:pt idx="1">
                        <c:v>12/29</c:v>
                      </c:pt>
                      <c:pt idx="2">
                        <c:v>12/30</c:v>
                      </c:pt>
                      <c:pt idx="3">
                        <c:v>12/31</c:v>
                      </c:pt>
                      <c:pt idx="4">
                        <c:v>1/1</c:v>
                      </c:pt>
                      <c:pt idx="5">
                        <c:v>1/2</c:v>
                      </c:pt>
                      <c:pt idx="6">
                        <c:v>1/3</c:v>
                      </c:pt>
                      <c:pt idx="7">
                        <c:v>1/4</c:v>
                      </c:pt>
                      <c:pt idx="8">
                        <c:v>1/5</c:v>
                      </c:pt>
                      <c:pt idx="9">
                        <c:v>1/6</c:v>
                      </c:pt>
                      <c:pt idx="10">
                        <c:v>1/7</c:v>
                      </c:pt>
                      <c:pt idx="11">
                        <c:v>1/8</c:v>
                      </c:pt>
                      <c:pt idx="12">
                        <c:v>1/9</c:v>
                      </c:pt>
                      <c:pt idx="13">
                        <c:v>1/10</c:v>
                      </c:pt>
                      <c:pt idx="14">
                        <c:v>1/11</c:v>
                      </c:pt>
                      <c:pt idx="15">
                        <c:v>1/12</c:v>
                      </c:pt>
                      <c:pt idx="16">
                        <c:v>1/13</c:v>
                      </c:pt>
                      <c:pt idx="17">
                        <c:v>1/14</c:v>
                      </c:pt>
                      <c:pt idx="18">
                        <c:v>1/15</c:v>
                      </c:pt>
                      <c:pt idx="19">
                        <c:v>1/16</c:v>
                      </c:pt>
                      <c:pt idx="20">
                        <c:v>1/17</c:v>
                      </c:pt>
                      <c:pt idx="21">
                        <c:v>1/18</c:v>
                      </c:pt>
                      <c:pt idx="22">
                        <c:v>1/19</c:v>
                      </c:pt>
                      <c:pt idx="23">
                        <c:v>1/20</c:v>
                      </c:pt>
                      <c:pt idx="24">
                        <c:v>1/21</c:v>
                      </c:pt>
                      <c:pt idx="25">
                        <c:v>1/22</c:v>
                      </c:pt>
                      <c:pt idx="26">
                        <c:v>1/23</c:v>
                      </c:pt>
                      <c:pt idx="27">
                        <c:v>1/24</c:v>
                      </c:pt>
                      <c:pt idx="28">
                        <c:v>1/25</c:v>
                      </c:pt>
                      <c:pt idx="29">
                        <c:v>1/26</c:v>
                      </c:pt>
                      <c:pt idx="30">
                        <c:v>1/27</c:v>
                      </c:pt>
                      <c:pt idx="31">
                        <c:v>1/28</c:v>
                      </c:pt>
                    </c:strCache>
                  </c:strRef>
                </c:cat>
                <c:val>
                  <c:numRef>
                    <c:extLst xmlns:c15="http://schemas.microsoft.com/office/drawing/2012/chart">
                      <c:ext xmlns:c15="http://schemas.microsoft.com/office/drawing/2012/chart" uri="{02D57815-91ED-43cb-92C2-25804820EDAC}">
                        <c15:formulaRef>
                          <c15:sqref>'Active Accounts'!$C$10:$AR$10</c15:sqref>
                        </c15:formulaRef>
                      </c:ext>
                    </c:extLst>
                    <c:numCache>
                      <c:formatCode>_(* #,##0_);_(* \(#,##0\);_(* "-"??_);_(@_)</c:formatCode>
                      <c:ptCount val="17"/>
                      <c:pt idx="0">
                        <c:v>115372</c:v>
                      </c:pt>
                      <c:pt idx="1">
                        <c:v>115375</c:v>
                      </c:pt>
                      <c:pt idx="2">
                        <c:v>115388</c:v>
                      </c:pt>
                      <c:pt idx="3">
                        <c:v>116233</c:v>
                      </c:pt>
                      <c:pt idx="4">
                        <c:v>116897</c:v>
                      </c:pt>
                      <c:pt idx="5">
                        <c:v>116896</c:v>
                      </c:pt>
                      <c:pt idx="6">
                        <c:v>116894</c:v>
                      </c:pt>
                      <c:pt idx="7">
                        <c:v>116899</c:v>
                      </c:pt>
                      <c:pt idx="8">
                        <c:v>116552</c:v>
                      </c:pt>
                      <c:pt idx="9">
                        <c:v>116833</c:v>
                      </c:pt>
                      <c:pt idx="10">
                        <c:v>116599</c:v>
                      </c:pt>
                      <c:pt idx="11">
                        <c:v>116419</c:v>
                      </c:pt>
                      <c:pt idx="12">
                        <c:v>116047</c:v>
                      </c:pt>
                      <c:pt idx="13">
                        <c:v>115124</c:v>
                      </c:pt>
                      <c:pt idx="14">
                        <c:v>114789</c:v>
                      </c:pt>
                      <c:pt idx="15">
                        <c:v>115690</c:v>
                      </c:pt>
                      <c:pt idx="16">
                        <c:v>115951</c:v>
                      </c:pt>
                    </c:numCache>
                  </c:numRef>
                </c:val>
              </c15:ser>
            </c15:filteredBarSeries>
            <c15:filteredBarSeries>
              <c15:ser>
                <c:idx val="6"/>
                <c:order val="10"/>
                <c:tx>
                  <c:strRef>
                    <c:extLst xmlns:c15="http://schemas.microsoft.com/office/drawing/2012/chart">
                      <c:ext xmlns:c15="http://schemas.microsoft.com/office/drawing/2012/chart" uri="{02D57815-91ED-43cb-92C2-25804820EDAC}">
                        <c15:formulaRef>
                          <c15:sqref>'Active Accounts'!$B$11</c15:sqref>
                        </c15:formulaRef>
                      </c:ext>
                    </c:extLst>
                    <c:strCache>
                      <c:ptCount val="1"/>
                      <c:pt idx="0">
                        <c:v>UPASS - College</c:v>
                      </c:pt>
                    </c:strCache>
                  </c:strRef>
                </c:tx>
                <c:invertIfNegative val="0"/>
                <c:cat>
                  <c:strRef>
                    <c:extLst xmlns:c15="http://schemas.microsoft.com/office/drawing/2012/chart">
                      <c:ext xmlns:c15="http://schemas.microsoft.com/office/drawing/2012/chart" uri="{02D57815-91ED-43cb-92C2-25804820EDAC}">
                        <c15:formulaRef>
                          <c15:sqref>'Active Accounts'!$AK$2:$CO$2</c15:sqref>
                        </c15:formulaRef>
                      </c:ext>
                    </c:extLst>
                    <c:strCache>
                      <c:ptCount val="32"/>
                      <c:pt idx="0">
                        <c:v>12/28</c:v>
                      </c:pt>
                      <c:pt idx="1">
                        <c:v>12/29</c:v>
                      </c:pt>
                      <c:pt idx="2">
                        <c:v>12/30</c:v>
                      </c:pt>
                      <c:pt idx="3">
                        <c:v>12/31</c:v>
                      </c:pt>
                      <c:pt idx="4">
                        <c:v>1/1</c:v>
                      </c:pt>
                      <c:pt idx="5">
                        <c:v>1/2</c:v>
                      </c:pt>
                      <c:pt idx="6">
                        <c:v>1/3</c:v>
                      </c:pt>
                      <c:pt idx="7">
                        <c:v>1/4</c:v>
                      </c:pt>
                      <c:pt idx="8">
                        <c:v>1/5</c:v>
                      </c:pt>
                      <c:pt idx="9">
                        <c:v>1/6</c:v>
                      </c:pt>
                      <c:pt idx="10">
                        <c:v>1/7</c:v>
                      </c:pt>
                      <c:pt idx="11">
                        <c:v>1/8</c:v>
                      </c:pt>
                      <c:pt idx="12">
                        <c:v>1/9</c:v>
                      </c:pt>
                      <c:pt idx="13">
                        <c:v>1/10</c:v>
                      </c:pt>
                      <c:pt idx="14">
                        <c:v>1/11</c:v>
                      </c:pt>
                      <c:pt idx="15">
                        <c:v>1/12</c:v>
                      </c:pt>
                      <c:pt idx="16">
                        <c:v>1/13</c:v>
                      </c:pt>
                      <c:pt idx="17">
                        <c:v>1/14</c:v>
                      </c:pt>
                      <c:pt idx="18">
                        <c:v>1/15</c:v>
                      </c:pt>
                      <c:pt idx="19">
                        <c:v>1/16</c:v>
                      </c:pt>
                      <c:pt idx="20">
                        <c:v>1/17</c:v>
                      </c:pt>
                      <c:pt idx="21">
                        <c:v>1/18</c:v>
                      </c:pt>
                      <c:pt idx="22">
                        <c:v>1/19</c:v>
                      </c:pt>
                      <c:pt idx="23">
                        <c:v>1/20</c:v>
                      </c:pt>
                      <c:pt idx="24">
                        <c:v>1/21</c:v>
                      </c:pt>
                      <c:pt idx="25">
                        <c:v>1/22</c:v>
                      </c:pt>
                      <c:pt idx="26">
                        <c:v>1/23</c:v>
                      </c:pt>
                      <c:pt idx="27">
                        <c:v>1/24</c:v>
                      </c:pt>
                      <c:pt idx="28">
                        <c:v>1/25</c:v>
                      </c:pt>
                      <c:pt idx="29">
                        <c:v>1/26</c:v>
                      </c:pt>
                      <c:pt idx="30">
                        <c:v>1/27</c:v>
                      </c:pt>
                      <c:pt idx="31">
                        <c:v>1/28</c:v>
                      </c:pt>
                    </c:strCache>
                  </c:strRef>
                </c:cat>
                <c:val>
                  <c:numRef>
                    <c:extLst xmlns:c15="http://schemas.microsoft.com/office/drawing/2012/chart">
                      <c:ext xmlns:c15="http://schemas.microsoft.com/office/drawing/2012/chart" uri="{02D57815-91ED-43cb-92C2-25804820EDAC}">
                        <c15:formulaRef>
                          <c15:sqref>'Active Accounts'!$C$11:$AR$11</c15:sqref>
                        </c15:formulaRef>
                      </c:ext>
                    </c:extLst>
                    <c:numCache>
                      <c:formatCode>_(* #,##0_);_(* \(#,##0\);_(* "-"??_);_(@_)</c:formatCode>
                      <c:ptCount val="17"/>
                      <c:pt idx="0">
                        <c:v>116377</c:v>
                      </c:pt>
                      <c:pt idx="1">
                        <c:v>116378</c:v>
                      </c:pt>
                      <c:pt idx="2">
                        <c:v>116379</c:v>
                      </c:pt>
                      <c:pt idx="3">
                        <c:v>109029</c:v>
                      </c:pt>
                      <c:pt idx="4">
                        <c:v>108561</c:v>
                      </c:pt>
                      <c:pt idx="5">
                        <c:v>108559</c:v>
                      </c:pt>
                      <c:pt idx="6">
                        <c:v>108560</c:v>
                      </c:pt>
                      <c:pt idx="7">
                        <c:v>108559</c:v>
                      </c:pt>
                      <c:pt idx="8">
                        <c:v>108433</c:v>
                      </c:pt>
                      <c:pt idx="9">
                        <c:v>108988</c:v>
                      </c:pt>
                      <c:pt idx="10">
                        <c:v>109087</c:v>
                      </c:pt>
                      <c:pt idx="11">
                        <c:v>109099</c:v>
                      </c:pt>
                      <c:pt idx="12">
                        <c:v>110053</c:v>
                      </c:pt>
                      <c:pt idx="13" formatCode="#,##0">
                        <c:v>109827</c:v>
                      </c:pt>
                      <c:pt idx="14">
                        <c:v>115871</c:v>
                      </c:pt>
                      <c:pt idx="15">
                        <c:v>115551</c:v>
                      </c:pt>
                      <c:pt idx="16">
                        <c:v>115047</c:v>
                      </c:pt>
                    </c:numCache>
                  </c:numRef>
                </c:val>
              </c15:ser>
            </c15:filteredBarSeries>
            <c15:filteredBarSeries>
              <c15:ser>
                <c:idx val="8"/>
                <c:order val="11"/>
                <c:tx>
                  <c:strRef>
                    <c:extLst xmlns:c15="http://schemas.microsoft.com/office/drawing/2012/chart">
                      <c:ext xmlns:c15="http://schemas.microsoft.com/office/drawing/2012/chart" uri="{02D57815-91ED-43cb-92C2-25804820EDAC}">
                        <c15:formulaRef>
                          <c15:sqref>'Active Accounts'!$B$13</c15:sqref>
                        </c15:formulaRef>
                      </c:ext>
                    </c:extLst>
                    <c:strCache>
                      <c:ptCount val="1"/>
                      <c:pt idx="0">
                        <c:v>3rd Party</c:v>
                      </c:pt>
                    </c:strCache>
                  </c:strRef>
                </c:tx>
                <c:invertIfNegative val="0"/>
                <c:cat>
                  <c:strRef>
                    <c:extLst xmlns:c15="http://schemas.microsoft.com/office/drawing/2012/chart">
                      <c:ext xmlns:c15="http://schemas.microsoft.com/office/drawing/2012/chart" uri="{02D57815-91ED-43cb-92C2-25804820EDAC}">
                        <c15:formulaRef>
                          <c15:sqref>'Active Accounts'!$AK$2:$CO$2</c15:sqref>
                        </c15:formulaRef>
                      </c:ext>
                    </c:extLst>
                    <c:strCache>
                      <c:ptCount val="32"/>
                      <c:pt idx="0">
                        <c:v>12/28</c:v>
                      </c:pt>
                      <c:pt idx="1">
                        <c:v>12/29</c:v>
                      </c:pt>
                      <c:pt idx="2">
                        <c:v>12/30</c:v>
                      </c:pt>
                      <c:pt idx="3">
                        <c:v>12/31</c:v>
                      </c:pt>
                      <c:pt idx="4">
                        <c:v>1/1</c:v>
                      </c:pt>
                      <c:pt idx="5">
                        <c:v>1/2</c:v>
                      </c:pt>
                      <c:pt idx="6">
                        <c:v>1/3</c:v>
                      </c:pt>
                      <c:pt idx="7">
                        <c:v>1/4</c:v>
                      </c:pt>
                      <c:pt idx="8">
                        <c:v>1/5</c:v>
                      </c:pt>
                      <c:pt idx="9">
                        <c:v>1/6</c:v>
                      </c:pt>
                      <c:pt idx="10">
                        <c:v>1/7</c:v>
                      </c:pt>
                      <c:pt idx="11">
                        <c:v>1/8</c:v>
                      </c:pt>
                      <c:pt idx="12">
                        <c:v>1/9</c:v>
                      </c:pt>
                      <c:pt idx="13">
                        <c:v>1/10</c:v>
                      </c:pt>
                      <c:pt idx="14">
                        <c:v>1/11</c:v>
                      </c:pt>
                      <c:pt idx="15">
                        <c:v>1/12</c:v>
                      </c:pt>
                      <c:pt idx="16">
                        <c:v>1/13</c:v>
                      </c:pt>
                      <c:pt idx="17">
                        <c:v>1/14</c:v>
                      </c:pt>
                      <c:pt idx="18">
                        <c:v>1/15</c:v>
                      </c:pt>
                      <c:pt idx="19">
                        <c:v>1/16</c:v>
                      </c:pt>
                      <c:pt idx="20">
                        <c:v>1/17</c:v>
                      </c:pt>
                      <c:pt idx="21">
                        <c:v>1/18</c:v>
                      </c:pt>
                      <c:pt idx="22">
                        <c:v>1/19</c:v>
                      </c:pt>
                      <c:pt idx="23">
                        <c:v>1/20</c:v>
                      </c:pt>
                      <c:pt idx="24">
                        <c:v>1/21</c:v>
                      </c:pt>
                      <c:pt idx="25">
                        <c:v>1/22</c:v>
                      </c:pt>
                      <c:pt idx="26">
                        <c:v>1/23</c:v>
                      </c:pt>
                      <c:pt idx="27">
                        <c:v>1/24</c:v>
                      </c:pt>
                      <c:pt idx="28">
                        <c:v>1/25</c:v>
                      </c:pt>
                      <c:pt idx="29">
                        <c:v>1/26</c:v>
                      </c:pt>
                      <c:pt idx="30">
                        <c:v>1/27</c:v>
                      </c:pt>
                      <c:pt idx="31">
                        <c:v>1/28</c:v>
                      </c:pt>
                    </c:strCache>
                  </c:strRef>
                </c:cat>
                <c:val>
                  <c:numRef>
                    <c:extLst xmlns:c15="http://schemas.microsoft.com/office/drawing/2012/chart">
                      <c:ext xmlns:c15="http://schemas.microsoft.com/office/drawing/2012/chart" uri="{02D57815-91ED-43cb-92C2-25804820EDAC}">
                        <c15:formulaRef>
                          <c15:sqref>'Active Accounts'!$C$13:$AR$13</c15:sqref>
                        </c15:formulaRef>
                      </c:ext>
                    </c:extLst>
                    <c:numCache>
                      <c:formatCode>#,##0</c:formatCode>
                      <c:ptCount val="17"/>
                      <c:pt idx="0">
                        <c:v>50887</c:v>
                      </c:pt>
                      <c:pt idx="1">
                        <c:v>51215</c:v>
                      </c:pt>
                      <c:pt idx="2">
                        <c:v>51913</c:v>
                      </c:pt>
                      <c:pt idx="3">
                        <c:v>52623</c:v>
                      </c:pt>
                      <c:pt idx="4">
                        <c:v>53116</c:v>
                      </c:pt>
                      <c:pt idx="5">
                        <c:v>53393</c:v>
                      </c:pt>
                      <c:pt idx="6">
                        <c:v>53893</c:v>
                      </c:pt>
                      <c:pt idx="7">
                        <c:v>54363</c:v>
                      </c:pt>
                      <c:pt idx="8">
                        <c:v>54370</c:v>
                      </c:pt>
                      <c:pt idx="9">
                        <c:v>56145</c:v>
                      </c:pt>
                      <c:pt idx="10">
                        <c:v>57139</c:v>
                      </c:pt>
                      <c:pt idx="11">
                        <c:v>57139</c:v>
                      </c:pt>
                      <c:pt idx="12">
                        <c:v>57865</c:v>
                      </c:pt>
                      <c:pt idx="13" formatCode="_(* #,##0_);_(* \(#,##0\);_(* &quot;-&quot;??_);_(@_)">
                        <c:v>58768</c:v>
                      </c:pt>
                      <c:pt idx="14">
                        <c:v>59205</c:v>
                      </c:pt>
                      <c:pt idx="15" formatCode="_(* #,##0_);_(* \(#,##0\);_(* &quot;-&quot;??_);_(@_)">
                        <c:v>59707</c:v>
                      </c:pt>
                      <c:pt idx="16" formatCode="_(* #,##0_);_(* \(#,##0\);_(* &quot;-&quot;??_);_(@_)">
                        <c:v>60535</c:v>
                      </c:pt>
                    </c:numCache>
                  </c:numRef>
                </c:val>
              </c15:ser>
            </c15:filteredBarSeries>
            <c15:filteredBarSeries>
              <c15:ser>
                <c:idx val="10"/>
                <c:order val="12"/>
                <c:tx>
                  <c:strRef>
                    <c:extLst xmlns:c15="http://schemas.microsoft.com/office/drawing/2012/chart">
                      <c:ext xmlns:c15="http://schemas.microsoft.com/office/drawing/2012/chart" uri="{02D57815-91ED-43cb-92C2-25804820EDAC}">
                        <c15:formulaRef>
                          <c15:sqref>'Active Accounts'!$B$14</c15:sqref>
                        </c15:formulaRef>
                      </c:ext>
                    </c:extLst>
                    <c:strCache>
                      <c:ptCount val="1"/>
                      <c:pt idx="0">
                        <c:v>Other Private Label***</c:v>
                      </c:pt>
                    </c:strCache>
                  </c:strRef>
                </c:tx>
                <c:invertIfNegative val="0"/>
                <c:cat>
                  <c:strRef>
                    <c:extLst xmlns:c15="http://schemas.microsoft.com/office/drawing/2012/chart">
                      <c:ext xmlns:c15="http://schemas.microsoft.com/office/drawing/2012/chart" uri="{02D57815-91ED-43cb-92C2-25804820EDAC}">
                        <c15:formulaRef>
                          <c15:sqref>'Active Accounts'!$AK$2:$CO$2</c15:sqref>
                        </c15:formulaRef>
                      </c:ext>
                    </c:extLst>
                    <c:strCache>
                      <c:ptCount val="32"/>
                      <c:pt idx="0">
                        <c:v>12/28</c:v>
                      </c:pt>
                      <c:pt idx="1">
                        <c:v>12/29</c:v>
                      </c:pt>
                      <c:pt idx="2">
                        <c:v>12/30</c:v>
                      </c:pt>
                      <c:pt idx="3">
                        <c:v>12/31</c:v>
                      </c:pt>
                      <c:pt idx="4">
                        <c:v>1/1</c:v>
                      </c:pt>
                      <c:pt idx="5">
                        <c:v>1/2</c:v>
                      </c:pt>
                      <c:pt idx="6">
                        <c:v>1/3</c:v>
                      </c:pt>
                      <c:pt idx="7">
                        <c:v>1/4</c:v>
                      </c:pt>
                      <c:pt idx="8">
                        <c:v>1/5</c:v>
                      </c:pt>
                      <c:pt idx="9">
                        <c:v>1/6</c:v>
                      </c:pt>
                      <c:pt idx="10">
                        <c:v>1/7</c:v>
                      </c:pt>
                      <c:pt idx="11">
                        <c:v>1/8</c:v>
                      </c:pt>
                      <c:pt idx="12">
                        <c:v>1/9</c:v>
                      </c:pt>
                      <c:pt idx="13">
                        <c:v>1/10</c:v>
                      </c:pt>
                      <c:pt idx="14">
                        <c:v>1/11</c:v>
                      </c:pt>
                      <c:pt idx="15">
                        <c:v>1/12</c:v>
                      </c:pt>
                      <c:pt idx="16">
                        <c:v>1/13</c:v>
                      </c:pt>
                      <c:pt idx="17">
                        <c:v>1/14</c:v>
                      </c:pt>
                      <c:pt idx="18">
                        <c:v>1/15</c:v>
                      </c:pt>
                      <c:pt idx="19">
                        <c:v>1/16</c:v>
                      </c:pt>
                      <c:pt idx="20">
                        <c:v>1/17</c:v>
                      </c:pt>
                      <c:pt idx="21">
                        <c:v>1/18</c:v>
                      </c:pt>
                      <c:pt idx="22">
                        <c:v>1/19</c:v>
                      </c:pt>
                      <c:pt idx="23">
                        <c:v>1/20</c:v>
                      </c:pt>
                      <c:pt idx="24">
                        <c:v>1/21</c:v>
                      </c:pt>
                      <c:pt idx="25">
                        <c:v>1/22</c:v>
                      </c:pt>
                      <c:pt idx="26">
                        <c:v>1/23</c:v>
                      </c:pt>
                      <c:pt idx="27">
                        <c:v>1/24</c:v>
                      </c:pt>
                      <c:pt idx="28">
                        <c:v>1/25</c:v>
                      </c:pt>
                      <c:pt idx="29">
                        <c:v>1/26</c:v>
                      </c:pt>
                      <c:pt idx="30">
                        <c:v>1/27</c:v>
                      </c:pt>
                      <c:pt idx="31">
                        <c:v>1/28</c:v>
                      </c:pt>
                    </c:strCache>
                  </c:strRef>
                </c:cat>
                <c:val>
                  <c:numRef>
                    <c:extLst xmlns:c15="http://schemas.microsoft.com/office/drawing/2012/chart">
                      <c:ext xmlns:c15="http://schemas.microsoft.com/office/drawing/2012/chart" uri="{02D57815-91ED-43cb-92C2-25804820EDAC}">
                        <c15:formulaRef>
                          <c15:sqref>'Active Accounts'!$C$14:$AR$14</c15:sqref>
                        </c15:formulaRef>
                      </c:ext>
                    </c:extLst>
                    <c:numCache>
                      <c:formatCode>#,##0</c:formatCode>
                      <c:ptCount val="17"/>
                      <c:pt idx="0">
                        <c:v>11888</c:v>
                      </c:pt>
                      <c:pt idx="1">
                        <c:v>11889</c:v>
                      </c:pt>
                      <c:pt idx="2">
                        <c:v>11903</c:v>
                      </c:pt>
                      <c:pt idx="3">
                        <c:v>11891</c:v>
                      </c:pt>
                      <c:pt idx="4">
                        <c:v>11947</c:v>
                      </c:pt>
                      <c:pt idx="5">
                        <c:v>11947</c:v>
                      </c:pt>
                      <c:pt idx="6">
                        <c:v>11952</c:v>
                      </c:pt>
                      <c:pt idx="7">
                        <c:v>11960</c:v>
                      </c:pt>
                      <c:pt idx="8">
                        <c:v>11961</c:v>
                      </c:pt>
                      <c:pt idx="9">
                        <c:v>11983</c:v>
                      </c:pt>
                      <c:pt idx="10">
                        <c:v>11972</c:v>
                      </c:pt>
                      <c:pt idx="11">
                        <c:v>11958</c:v>
                      </c:pt>
                      <c:pt idx="12">
                        <c:v>11953</c:v>
                      </c:pt>
                      <c:pt idx="13" formatCode="_(* #,##0_);_(* \(#,##0\);_(* &quot;-&quot;??_);_(@_)">
                        <c:v>11946</c:v>
                      </c:pt>
                      <c:pt idx="14" formatCode="_(* #,##0_);_(* \(#,##0\);_(* &quot;-&quot;??_);_(@_)">
                        <c:v>11949</c:v>
                      </c:pt>
                      <c:pt idx="15" formatCode="_(* #,##0_);_(* \(#,##0\);_(* &quot;-&quot;??_);_(@_)">
                        <c:v>11973</c:v>
                      </c:pt>
                      <c:pt idx="16" formatCode="_(* #,##0_);_(* \(#,##0\);_(* &quot;-&quot;??_);_(@_)">
                        <c:v>12032</c:v>
                      </c:pt>
                    </c:numCache>
                  </c:numRef>
                </c:val>
              </c15:ser>
            </c15:filteredBarSeries>
            <c15:filteredBarSeries>
              <c15:ser>
                <c:idx val="13"/>
                <c:order val="13"/>
                <c:tx>
                  <c:strRef>
                    <c:extLst xmlns:c15="http://schemas.microsoft.com/office/drawing/2012/chart">
                      <c:ext xmlns:c15="http://schemas.microsoft.com/office/drawing/2012/chart" uri="{02D57815-91ED-43cb-92C2-25804820EDAC}">
                        <c15:formulaRef>
                          <c15:sqref>'Active Accounts'!$B$16</c15:sqref>
                        </c15:formulaRef>
                      </c:ext>
                    </c:extLst>
                    <c:strCache>
                      <c:ptCount val="1"/>
                      <c:pt idx="0">
                        <c:v>Total</c:v>
                      </c:pt>
                    </c:strCache>
                  </c:strRef>
                </c:tx>
                <c:invertIfNegative val="0"/>
                <c:cat>
                  <c:strRef>
                    <c:extLst xmlns:c15="http://schemas.microsoft.com/office/drawing/2012/chart">
                      <c:ext xmlns:c15="http://schemas.microsoft.com/office/drawing/2012/chart" uri="{02D57815-91ED-43cb-92C2-25804820EDAC}">
                        <c15:formulaRef>
                          <c15:sqref>'Active Accounts'!$AK$2:$CO$2</c15:sqref>
                        </c15:formulaRef>
                      </c:ext>
                    </c:extLst>
                    <c:strCache>
                      <c:ptCount val="32"/>
                      <c:pt idx="0">
                        <c:v>12/28</c:v>
                      </c:pt>
                      <c:pt idx="1">
                        <c:v>12/29</c:v>
                      </c:pt>
                      <c:pt idx="2">
                        <c:v>12/30</c:v>
                      </c:pt>
                      <c:pt idx="3">
                        <c:v>12/31</c:v>
                      </c:pt>
                      <c:pt idx="4">
                        <c:v>1/1</c:v>
                      </c:pt>
                      <c:pt idx="5">
                        <c:v>1/2</c:v>
                      </c:pt>
                      <c:pt idx="6">
                        <c:v>1/3</c:v>
                      </c:pt>
                      <c:pt idx="7">
                        <c:v>1/4</c:v>
                      </c:pt>
                      <c:pt idx="8">
                        <c:v>1/5</c:v>
                      </c:pt>
                      <c:pt idx="9">
                        <c:v>1/6</c:v>
                      </c:pt>
                      <c:pt idx="10">
                        <c:v>1/7</c:v>
                      </c:pt>
                      <c:pt idx="11">
                        <c:v>1/8</c:v>
                      </c:pt>
                      <c:pt idx="12">
                        <c:v>1/9</c:v>
                      </c:pt>
                      <c:pt idx="13">
                        <c:v>1/10</c:v>
                      </c:pt>
                      <c:pt idx="14">
                        <c:v>1/11</c:v>
                      </c:pt>
                      <c:pt idx="15">
                        <c:v>1/12</c:v>
                      </c:pt>
                      <c:pt idx="16">
                        <c:v>1/13</c:v>
                      </c:pt>
                      <c:pt idx="17">
                        <c:v>1/14</c:v>
                      </c:pt>
                      <c:pt idx="18">
                        <c:v>1/15</c:v>
                      </c:pt>
                      <c:pt idx="19">
                        <c:v>1/16</c:v>
                      </c:pt>
                      <c:pt idx="20">
                        <c:v>1/17</c:v>
                      </c:pt>
                      <c:pt idx="21">
                        <c:v>1/18</c:v>
                      </c:pt>
                      <c:pt idx="22">
                        <c:v>1/19</c:v>
                      </c:pt>
                      <c:pt idx="23">
                        <c:v>1/20</c:v>
                      </c:pt>
                      <c:pt idx="24">
                        <c:v>1/21</c:v>
                      </c:pt>
                      <c:pt idx="25">
                        <c:v>1/22</c:v>
                      </c:pt>
                      <c:pt idx="26">
                        <c:v>1/23</c:v>
                      </c:pt>
                      <c:pt idx="27">
                        <c:v>1/24</c:v>
                      </c:pt>
                      <c:pt idx="28">
                        <c:v>1/25</c:v>
                      </c:pt>
                      <c:pt idx="29">
                        <c:v>1/26</c:v>
                      </c:pt>
                      <c:pt idx="30">
                        <c:v>1/27</c:v>
                      </c:pt>
                      <c:pt idx="31">
                        <c:v>1/28</c:v>
                      </c:pt>
                    </c:strCache>
                  </c:strRef>
                </c:cat>
                <c:val>
                  <c:numRef>
                    <c:extLst xmlns:c15="http://schemas.microsoft.com/office/drawing/2012/chart">
                      <c:ext xmlns:c15="http://schemas.microsoft.com/office/drawing/2012/chart" uri="{02D57815-91ED-43cb-92C2-25804820EDAC}">
                        <c15:formulaRef>
                          <c15:sqref>'Active Accounts'!$C$16:$AR$16</c15:sqref>
                        </c15:formulaRef>
                      </c:ext>
                    </c:extLst>
                    <c:numCache>
                      <c:formatCode>_(* #,##0_);_(* \(#,##0\);_(* "-"??_);_(@_)</c:formatCode>
                      <c:ptCount val="17"/>
                      <c:pt idx="0">
                        <c:v>1017325</c:v>
                      </c:pt>
                      <c:pt idx="1">
                        <c:v>1020147</c:v>
                      </c:pt>
                      <c:pt idx="2">
                        <c:v>1025386</c:v>
                      </c:pt>
                      <c:pt idx="3">
                        <c:v>1024872</c:v>
                      </c:pt>
                      <c:pt idx="4">
                        <c:v>1055637</c:v>
                      </c:pt>
                      <c:pt idx="5">
                        <c:v>1058162</c:v>
                      </c:pt>
                      <c:pt idx="6">
                        <c:v>1063158</c:v>
                      </c:pt>
                      <c:pt idx="7">
                        <c:v>1068724</c:v>
                      </c:pt>
                      <c:pt idx="8">
                        <c:v>1068453</c:v>
                      </c:pt>
                      <c:pt idx="9">
                        <c:v>1089336</c:v>
                      </c:pt>
                      <c:pt idx="10">
                        <c:v>1094451</c:v>
                      </c:pt>
                      <c:pt idx="11">
                        <c:v>1100183</c:v>
                      </c:pt>
                      <c:pt idx="12">
                        <c:v>1107656</c:v>
                      </c:pt>
                      <c:pt idx="13">
                        <c:v>1116663</c:v>
                      </c:pt>
                      <c:pt idx="14">
                        <c:v>1123826</c:v>
                      </c:pt>
                      <c:pt idx="15">
                        <c:v>1129040</c:v>
                      </c:pt>
                      <c:pt idx="16">
                        <c:v>1136291</c:v>
                      </c:pt>
                    </c:numCache>
                  </c:numRef>
                </c:val>
              </c15:ser>
            </c15:filteredBarSeries>
          </c:ext>
        </c:extLst>
      </c:barChart>
      <c:catAx>
        <c:axId val="114534272"/>
        <c:scaling>
          <c:orientation val="minMax"/>
        </c:scaling>
        <c:delete val="0"/>
        <c:axPos val="b"/>
        <c:numFmt formatCode="General" sourceLinked="1"/>
        <c:majorTickMark val="out"/>
        <c:minorTickMark val="none"/>
        <c:tickLblPos val="nextTo"/>
        <c:spPr>
          <a:ln>
            <a:solidFill>
              <a:schemeClr val="bg1">
                <a:lumMod val="50000"/>
              </a:schemeClr>
            </a:solidFill>
          </a:ln>
        </c:spPr>
        <c:txPr>
          <a:bodyPr rot="-3000000"/>
          <a:lstStyle/>
          <a:p>
            <a:pPr>
              <a:defRPr sz="700">
                <a:solidFill>
                  <a:sysClr val="windowText" lastClr="000000"/>
                </a:solidFill>
              </a:defRPr>
            </a:pPr>
            <a:endParaRPr lang="en-US"/>
          </a:p>
        </c:txPr>
        <c:crossAx val="114535808"/>
        <c:crosses val="autoZero"/>
        <c:auto val="0"/>
        <c:lblAlgn val="ctr"/>
        <c:lblOffset val="100"/>
        <c:noMultiLvlLbl val="0"/>
      </c:catAx>
      <c:valAx>
        <c:axId val="114535808"/>
        <c:scaling>
          <c:orientation val="minMax"/>
          <c:max val="1400000"/>
        </c:scaling>
        <c:delete val="0"/>
        <c:axPos val="l"/>
        <c:majorGridlines>
          <c:spPr>
            <a:ln>
              <a:solidFill>
                <a:schemeClr val="bg1">
                  <a:lumMod val="85000"/>
                </a:schemeClr>
              </a:solidFill>
            </a:ln>
          </c:spPr>
        </c:majorGridlines>
        <c:numFmt formatCode="_(* #,##0_);_(* \(#,##0\);_(* &quot;-&quot;??_);_(@_)" sourceLinked="1"/>
        <c:majorTickMark val="none"/>
        <c:minorTickMark val="none"/>
        <c:tickLblPos val="nextTo"/>
        <c:txPr>
          <a:bodyPr/>
          <a:lstStyle/>
          <a:p>
            <a:pPr>
              <a:defRPr sz="700">
                <a:solidFill>
                  <a:sysClr val="windowText" lastClr="000000"/>
                </a:solidFill>
              </a:defRPr>
            </a:pPr>
            <a:endParaRPr lang="en-US"/>
          </a:p>
        </c:txPr>
        <c:crossAx val="114534272"/>
        <c:crosses val="autoZero"/>
        <c:crossBetween val="between"/>
        <c:majorUnit val="200000"/>
        <c:minorUnit val="20000"/>
      </c:valAx>
      <c:spPr>
        <a:ln>
          <a:solidFill>
            <a:schemeClr val="bg1">
              <a:lumMod val="50000"/>
            </a:schemeClr>
          </a:solidFill>
        </a:ln>
      </c:spPr>
    </c:plotArea>
    <c:legend>
      <c:legendPos val="b"/>
      <c:layout/>
      <c:overlay val="0"/>
      <c:txPr>
        <a:bodyPr/>
        <a:lstStyle/>
        <a:p>
          <a:pPr>
            <a:defRPr sz="800"/>
          </a:pPr>
          <a:endParaRPr lang="en-US"/>
        </a:p>
      </c:txPr>
    </c:legend>
    <c:plotVisOnly val="1"/>
    <c:dispBlanksAs val="zero"/>
    <c:showDLblsOverMax val="0"/>
  </c:chart>
  <c:spPr>
    <a:ln w="9525">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000"/>
              <a:t>Call Center</a:t>
            </a:r>
          </a:p>
          <a:p>
            <a:pPr>
              <a:defRPr/>
            </a:pPr>
            <a:r>
              <a:rPr lang="en-US" sz="1000"/>
              <a:t>Total</a:t>
            </a:r>
            <a:r>
              <a:rPr lang="en-US" sz="1000" baseline="0"/>
              <a:t> Calls Received</a:t>
            </a:r>
            <a:endParaRPr lang="en-US" sz="1000"/>
          </a:p>
        </c:rich>
      </c:tx>
      <c:layout/>
      <c:overlay val="0"/>
    </c:title>
    <c:autoTitleDeleted val="0"/>
    <c:plotArea>
      <c:layout/>
      <c:barChart>
        <c:barDir val="col"/>
        <c:grouping val="clustered"/>
        <c:varyColors val="0"/>
        <c:ser>
          <c:idx val="0"/>
          <c:order val="0"/>
          <c:tx>
            <c:strRef>
              <c:f>'calls summary'!$B$1</c:f>
              <c:strCache>
                <c:ptCount val="1"/>
                <c:pt idx="0">
                  <c:v>Calls Received</c:v>
                </c:pt>
              </c:strCache>
            </c:strRef>
          </c:tx>
          <c:invertIfNegative val="0"/>
          <c:cat>
            <c:numRef>
              <c:f>'calls summary'!$A$62:$A$122</c:f>
              <c:numCache>
                <c:formatCode>d\-mmm</c:formatCode>
                <c:ptCount val="61"/>
                <c:pt idx="0">
                  <c:v>41607</c:v>
                </c:pt>
                <c:pt idx="1">
                  <c:v>41608</c:v>
                </c:pt>
                <c:pt idx="2">
                  <c:v>41609</c:v>
                </c:pt>
                <c:pt idx="3">
                  <c:v>41610</c:v>
                </c:pt>
                <c:pt idx="4">
                  <c:v>41611</c:v>
                </c:pt>
                <c:pt idx="5">
                  <c:v>41612</c:v>
                </c:pt>
                <c:pt idx="6">
                  <c:v>41613</c:v>
                </c:pt>
                <c:pt idx="7">
                  <c:v>41614</c:v>
                </c:pt>
                <c:pt idx="8">
                  <c:v>41615</c:v>
                </c:pt>
                <c:pt idx="9">
                  <c:v>41616</c:v>
                </c:pt>
                <c:pt idx="10">
                  <c:v>41617</c:v>
                </c:pt>
                <c:pt idx="11">
                  <c:v>41618</c:v>
                </c:pt>
                <c:pt idx="12">
                  <c:v>41619</c:v>
                </c:pt>
                <c:pt idx="13">
                  <c:v>41620</c:v>
                </c:pt>
                <c:pt idx="14">
                  <c:v>41621</c:v>
                </c:pt>
                <c:pt idx="15">
                  <c:v>41622</c:v>
                </c:pt>
                <c:pt idx="16">
                  <c:v>41623</c:v>
                </c:pt>
                <c:pt idx="17">
                  <c:v>41624</c:v>
                </c:pt>
                <c:pt idx="18">
                  <c:v>41625</c:v>
                </c:pt>
                <c:pt idx="19">
                  <c:v>41626</c:v>
                </c:pt>
                <c:pt idx="20">
                  <c:v>41627</c:v>
                </c:pt>
                <c:pt idx="21">
                  <c:v>41628</c:v>
                </c:pt>
                <c:pt idx="22">
                  <c:v>41629</c:v>
                </c:pt>
                <c:pt idx="23">
                  <c:v>41630</c:v>
                </c:pt>
                <c:pt idx="24">
                  <c:v>41631</c:v>
                </c:pt>
                <c:pt idx="25">
                  <c:v>41632</c:v>
                </c:pt>
                <c:pt idx="26">
                  <c:v>41633</c:v>
                </c:pt>
                <c:pt idx="27">
                  <c:v>41634</c:v>
                </c:pt>
                <c:pt idx="28">
                  <c:v>41635</c:v>
                </c:pt>
                <c:pt idx="29">
                  <c:v>41636</c:v>
                </c:pt>
                <c:pt idx="30">
                  <c:v>41637</c:v>
                </c:pt>
                <c:pt idx="31">
                  <c:v>41638</c:v>
                </c:pt>
                <c:pt idx="32">
                  <c:v>41639</c:v>
                </c:pt>
                <c:pt idx="33">
                  <c:v>41640</c:v>
                </c:pt>
                <c:pt idx="34">
                  <c:v>41641</c:v>
                </c:pt>
                <c:pt idx="35">
                  <c:v>41642</c:v>
                </c:pt>
                <c:pt idx="36">
                  <c:v>41643</c:v>
                </c:pt>
                <c:pt idx="37">
                  <c:v>41644</c:v>
                </c:pt>
                <c:pt idx="38">
                  <c:v>41645</c:v>
                </c:pt>
                <c:pt idx="39">
                  <c:v>41646</c:v>
                </c:pt>
                <c:pt idx="40">
                  <c:v>41647</c:v>
                </c:pt>
                <c:pt idx="41">
                  <c:v>41648</c:v>
                </c:pt>
                <c:pt idx="42">
                  <c:v>41649</c:v>
                </c:pt>
                <c:pt idx="43">
                  <c:v>41650</c:v>
                </c:pt>
                <c:pt idx="44">
                  <c:v>41651</c:v>
                </c:pt>
                <c:pt idx="45">
                  <c:v>41652</c:v>
                </c:pt>
                <c:pt idx="46">
                  <c:v>41653</c:v>
                </c:pt>
                <c:pt idx="47">
                  <c:v>41654</c:v>
                </c:pt>
                <c:pt idx="48">
                  <c:v>41655</c:v>
                </c:pt>
                <c:pt idx="49">
                  <c:v>41656</c:v>
                </c:pt>
                <c:pt idx="50">
                  <c:v>41657</c:v>
                </c:pt>
                <c:pt idx="51">
                  <c:v>41658</c:v>
                </c:pt>
                <c:pt idx="52">
                  <c:v>41659</c:v>
                </c:pt>
                <c:pt idx="53">
                  <c:v>41660</c:v>
                </c:pt>
                <c:pt idx="54">
                  <c:v>41661</c:v>
                </c:pt>
                <c:pt idx="55">
                  <c:v>41662</c:v>
                </c:pt>
                <c:pt idx="56">
                  <c:v>41663</c:v>
                </c:pt>
                <c:pt idx="57">
                  <c:v>41664</c:v>
                </c:pt>
                <c:pt idx="58">
                  <c:v>41665</c:v>
                </c:pt>
                <c:pt idx="59">
                  <c:v>41666</c:v>
                </c:pt>
                <c:pt idx="60">
                  <c:v>41667</c:v>
                </c:pt>
              </c:numCache>
              <c:extLst>
                <c:ext xmlns:c15="http://schemas.microsoft.com/office/drawing/2012/chart" uri="{02D57815-91ED-43cb-92C2-25804820EDAC}">
                  <c15:fullRef>
                    <c15:sqref>'calls summary'!$A$59:$A$122</c15:sqref>
                  </c15:fullRef>
                </c:ext>
              </c:extLst>
            </c:numRef>
          </c:cat>
          <c:val>
            <c:numRef>
              <c:f>'calls summary'!$B$62:$B$122</c:f>
              <c:numCache>
                <c:formatCode>_(* #,##0_);_(* \(#,##0\);_(* "-"??_);_(@_)</c:formatCode>
                <c:ptCount val="61"/>
                <c:pt idx="0">
                  <c:v>8068</c:v>
                </c:pt>
                <c:pt idx="1">
                  <c:v>5881</c:v>
                </c:pt>
                <c:pt idx="2">
                  <c:v>3652</c:v>
                </c:pt>
                <c:pt idx="3">
                  <c:v>11897</c:v>
                </c:pt>
                <c:pt idx="4">
                  <c:v>10047</c:v>
                </c:pt>
                <c:pt idx="5">
                  <c:v>9709</c:v>
                </c:pt>
                <c:pt idx="6">
                  <c:v>8463</c:v>
                </c:pt>
                <c:pt idx="7">
                  <c:v>7577</c:v>
                </c:pt>
                <c:pt idx="8">
                  <c:v>3512</c:v>
                </c:pt>
                <c:pt idx="9">
                  <c:v>3336</c:v>
                </c:pt>
                <c:pt idx="10">
                  <c:v>7964</c:v>
                </c:pt>
                <c:pt idx="11">
                  <c:v>6817</c:v>
                </c:pt>
                <c:pt idx="12">
                  <c:v>6159</c:v>
                </c:pt>
                <c:pt idx="13">
                  <c:v>5619</c:v>
                </c:pt>
                <c:pt idx="14">
                  <c:v>5595</c:v>
                </c:pt>
                <c:pt idx="15">
                  <c:v>3318</c:v>
                </c:pt>
                <c:pt idx="16">
                  <c:v>3634</c:v>
                </c:pt>
                <c:pt idx="17">
                  <c:v>9413</c:v>
                </c:pt>
                <c:pt idx="18">
                  <c:v>7574</c:v>
                </c:pt>
                <c:pt idx="19">
                  <c:v>6853</c:v>
                </c:pt>
                <c:pt idx="20">
                  <c:v>6516</c:v>
                </c:pt>
                <c:pt idx="21">
                  <c:v>5812</c:v>
                </c:pt>
                <c:pt idx="22">
                  <c:v>2838</c:v>
                </c:pt>
                <c:pt idx="23">
                  <c:v>2173</c:v>
                </c:pt>
                <c:pt idx="24">
                  <c:v>4645</c:v>
                </c:pt>
                <c:pt idx="25">
                  <c:v>2423</c:v>
                </c:pt>
                <c:pt idx="26">
                  <c:v>648</c:v>
                </c:pt>
                <c:pt idx="27">
                  <c:v>4194</c:v>
                </c:pt>
                <c:pt idx="28">
                  <c:v>4319</c:v>
                </c:pt>
                <c:pt idx="29">
                  <c:v>2588</c:v>
                </c:pt>
                <c:pt idx="30">
                  <c:v>1842</c:v>
                </c:pt>
                <c:pt idx="31">
                  <c:v>4760</c:v>
                </c:pt>
                <c:pt idx="32">
                  <c:v>3196</c:v>
                </c:pt>
                <c:pt idx="33">
                  <c:v>1606</c:v>
                </c:pt>
                <c:pt idx="34">
                  <c:v>4900</c:v>
                </c:pt>
                <c:pt idx="35">
                  <c:v>4861</c:v>
                </c:pt>
                <c:pt idx="36">
                  <c:v>2563</c:v>
                </c:pt>
                <c:pt idx="37">
                  <c:v>1841</c:v>
                </c:pt>
                <c:pt idx="38">
                  <c:v>3184</c:v>
                </c:pt>
                <c:pt idx="39">
                  <c:v>4416</c:v>
                </c:pt>
                <c:pt idx="40">
                  <c:v>5155</c:v>
                </c:pt>
                <c:pt idx="41">
                  <c:v>5178</c:v>
                </c:pt>
                <c:pt idx="42">
                  <c:v>4729</c:v>
                </c:pt>
                <c:pt idx="43">
                  <c:v>2774</c:v>
                </c:pt>
                <c:pt idx="44">
                  <c:v>2925</c:v>
                </c:pt>
                <c:pt idx="45">
                  <c:v>8369</c:v>
                </c:pt>
                <c:pt idx="46">
                  <c:v>7605</c:v>
                </c:pt>
                <c:pt idx="47">
                  <c:v>6737</c:v>
                </c:pt>
                <c:pt idx="48">
                  <c:v>6055</c:v>
                </c:pt>
                <c:pt idx="49">
                  <c:v>5310</c:v>
                </c:pt>
                <c:pt idx="50">
                  <c:v>2653</c:v>
                </c:pt>
                <c:pt idx="51">
                  <c:v>2243</c:v>
                </c:pt>
                <c:pt idx="52">
                  <c:v>4994</c:v>
                </c:pt>
                <c:pt idx="53">
                  <c:v>5953</c:v>
                </c:pt>
                <c:pt idx="54">
                  <c:v>5270</c:v>
                </c:pt>
                <c:pt idx="55">
                  <c:v>4611</c:v>
                </c:pt>
                <c:pt idx="56">
                  <c:v>3989</c:v>
                </c:pt>
                <c:pt idx="57">
                  <c:v>2308</c:v>
                </c:pt>
                <c:pt idx="58">
                  <c:v>1849</c:v>
                </c:pt>
                <c:pt idx="59">
                  <c:v>3652</c:v>
                </c:pt>
                <c:pt idx="60">
                  <c:v>3757</c:v>
                </c:pt>
              </c:numCache>
              <c:extLst>
                <c:ext xmlns:c15="http://schemas.microsoft.com/office/drawing/2012/chart" uri="{02D57815-91ED-43cb-92C2-25804820EDAC}">
                  <c15:fullRef>
                    <c15:sqref>'calls summary'!$B$59:$B$122</c15:sqref>
                  </c15:fullRef>
                </c:ext>
              </c:extLst>
            </c:numRef>
          </c:val>
        </c:ser>
        <c:dLbls>
          <c:showLegendKey val="0"/>
          <c:showVal val="0"/>
          <c:showCatName val="0"/>
          <c:showSerName val="0"/>
          <c:showPercent val="0"/>
          <c:showBubbleSize val="0"/>
        </c:dLbls>
        <c:gapWidth val="75"/>
        <c:axId val="114545792"/>
        <c:axId val="114547328"/>
      </c:barChart>
      <c:lineChart>
        <c:grouping val="standard"/>
        <c:varyColors val="0"/>
        <c:ser>
          <c:idx val="1"/>
          <c:order val="1"/>
          <c:tx>
            <c:strRef>
              <c:f>'calls summary'!$C$1</c:f>
              <c:strCache>
                <c:ptCount val="1"/>
                <c:pt idx="0">
                  <c:v>Monthly Average</c:v>
                </c:pt>
              </c:strCache>
            </c:strRef>
          </c:tx>
          <c:spPr>
            <a:ln>
              <a:solidFill>
                <a:schemeClr val="accent3"/>
              </a:solidFill>
            </a:ln>
          </c:spPr>
          <c:marker>
            <c:symbol val="none"/>
          </c:marker>
          <c:cat>
            <c:numRef>
              <c:f>'calls summary'!$A$62:$A$122</c:f>
              <c:numCache>
                <c:formatCode>d\-mmm</c:formatCode>
                <c:ptCount val="61"/>
                <c:pt idx="0">
                  <c:v>41607</c:v>
                </c:pt>
                <c:pt idx="1">
                  <c:v>41608</c:v>
                </c:pt>
                <c:pt idx="2">
                  <c:v>41609</c:v>
                </c:pt>
                <c:pt idx="3">
                  <c:v>41610</c:v>
                </c:pt>
                <c:pt idx="4">
                  <c:v>41611</c:v>
                </c:pt>
                <c:pt idx="5">
                  <c:v>41612</c:v>
                </c:pt>
                <c:pt idx="6">
                  <c:v>41613</c:v>
                </c:pt>
                <c:pt idx="7">
                  <c:v>41614</c:v>
                </c:pt>
                <c:pt idx="8">
                  <c:v>41615</c:v>
                </c:pt>
                <c:pt idx="9">
                  <c:v>41616</c:v>
                </c:pt>
                <c:pt idx="10">
                  <c:v>41617</c:v>
                </c:pt>
                <c:pt idx="11">
                  <c:v>41618</c:v>
                </c:pt>
                <c:pt idx="12">
                  <c:v>41619</c:v>
                </c:pt>
                <c:pt idx="13">
                  <c:v>41620</c:v>
                </c:pt>
                <c:pt idx="14">
                  <c:v>41621</c:v>
                </c:pt>
                <c:pt idx="15">
                  <c:v>41622</c:v>
                </c:pt>
                <c:pt idx="16">
                  <c:v>41623</c:v>
                </c:pt>
                <c:pt idx="17">
                  <c:v>41624</c:v>
                </c:pt>
                <c:pt idx="18">
                  <c:v>41625</c:v>
                </c:pt>
                <c:pt idx="19">
                  <c:v>41626</c:v>
                </c:pt>
                <c:pt idx="20">
                  <c:v>41627</c:v>
                </c:pt>
                <c:pt idx="21">
                  <c:v>41628</c:v>
                </c:pt>
                <c:pt idx="22">
                  <c:v>41629</c:v>
                </c:pt>
                <c:pt idx="23">
                  <c:v>41630</c:v>
                </c:pt>
                <c:pt idx="24">
                  <c:v>41631</c:v>
                </c:pt>
                <c:pt idx="25">
                  <c:v>41632</c:v>
                </c:pt>
                <c:pt idx="26">
                  <c:v>41633</c:v>
                </c:pt>
                <c:pt idx="27">
                  <c:v>41634</c:v>
                </c:pt>
                <c:pt idx="28">
                  <c:v>41635</c:v>
                </c:pt>
                <c:pt idx="29">
                  <c:v>41636</c:v>
                </c:pt>
                <c:pt idx="30">
                  <c:v>41637</c:v>
                </c:pt>
                <c:pt idx="31">
                  <c:v>41638</c:v>
                </c:pt>
                <c:pt idx="32">
                  <c:v>41639</c:v>
                </c:pt>
                <c:pt idx="33">
                  <c:v>41640</c:v>
                </c:pt>
                <c:pt idx="34">
                  <c:v>41641</c:v>
                </c:pt>
                <c:pt idx="35">
                  <c:v>41642</c:v>
                </c:pt>
                <c:pt idx="36">
                  <c:v>41643</c:v>
                </c:pt>
                <c:pt idx="37">
                  <c:v>41644</c:v>
                </c:pt>
                <c:pt idx="38">
                  <c:v>41645</c:v>
                </c:pt>
                <c:pt idx="39">
                  <c:v>41646</c:v>
                </c:pt>
                <c:pt idx="40">
                  <c:v>41647</c:v>
                </c:pt>
                <c:pt idx="41">
                  <c:v>41648</c:v>
                </c:pt>
                <c:pt idx="42">
                  <c:v>41649</c:v>
                </c:pt>
                <c:pt idx="43">
                  <c:v>41650</c:v>
                </c:pt>
                <c:pt idx="44">
                  <c:v>41651</c:v>
                </c:pt>
                <c:pt idx="45">
                  <c:v>41652</c:v>
                </c:pt>
                <c:pt idx="46">
                  <c:v>41653</c:v>
                </c:pt>
                <c:pt idx="47">
                  <c:v>41654</c:v>
                </c:pt>
                <c:pt idx="48">
                  <c:v>41655</c:v>
                </c:pt>
                <c:pt idx="49">
                  <c:v>41656</c:v>
                </c:pt>
                <c:pt idx="50">
                  <c:v>41657</c:v>
                </c:pt>
                <c:pt idx="51">
                  <c:v>41658</c:v>
                </c:pt>
                <c:pt idx="52">
                  <c:v>41659</c:v>
                </c:pt>
                <c:pt idx="53">
                  <c:v>41660</c:v>
                </c:pt>
                <c:pt idx="54">
                  <c:v>41661</c:v>
                </c:pt>
                <c:pt idx="55">
                  <c:v>41662</c:v>
                </c:pt>
                <c:pt idx="56">
                  <c:v>41663</c:v>
                </c:pt>
                <c:pt idx="57">
                  <c:v>41664</c:v>
                </c:pt>
                <c:pt idx="58">
                  <c:v>41665</c:v>
                </c:pt>
                <c:pt idx="59">
                  <c:v>41666</c:v>
                </c:pt>
                <c:pt idx="60">
                  <c:v>41667</c:v>
                </c:pt>
              </c:numCache>
              <c:extLst>
                <c:ext xmlns:c15="http://schemas.microsoft.com/office/drawing/2012/chart" uri="{02D57815-91ED-43cb-92C2-25804820EDAC}">
                  <c15:fullRef>
                    <c15:sqref>'calls summary'!$A$59:$A$122</c15:sqref>
                  </c15:fullRef>
                </c:ext>
              </c:extLst>
            </c:numRef>
          </c:cat>
          <c:val>
            <c:numRef>
              <c:f>'calls summary'!$C$62:$C$122</c:f>
              <c:numCache>
                <c:formatCode>_(* #,##0_);_(* \(#,##0\);_(* "-"??_);_(@_)</c:formatCode>
                <c:ptCount val="61"/>
                <c:pt idx="0">
                  <c:v>8538.6</c:v>
                </c:pt>
                <c:pt idx="1">
                  <c:v>8538.6</c:v>
                </c:pt>
                <c:pt idx="2">
                  <c:v>5390.0967741935483</c:v>
                </c:pt>
                <c:pt idx="3">
                  <c:v>5390.0967741935483</c:v>
                </c:pt>
                <c:pt idx="4">
                  <c:v>5390.0967741935483</c:v>
                </c:pt>
                <c:pt idx="5">
                  <c:v>5390.0967741935483</c:v>
                </c:pt>
                <c:pt idx="6">
                  <c:v>5390.0967741935483</c:v>
                </c:pt>
                <c:pt idx="7">
                  <c:v>5390.0967741935483</c:v>
                </c:pt>
                <c:pt idx="8">
                  <c:v>5390.0967741935483</c:v>
                </c:pt>
                <c:pt idx="9">
                  <c:v>5390.0967741935483</c:v>
                </c:pt>
                <c:pt idx="10">
                  <c:v>5390.0967741935483</c:v>
                </c:pt>
                <c:pt idx="11">
                  <c:v>5390.0967741935483</c:v>
                </c:pt>
                <c:pt idx="12">
                  <c:v>5390.0967741935483</c:v>
                </c:pt>
                <c:pt idx="13">
                  <c:v>5390.0967741935483</c:v>
                </c:pt>
                <c:pt idx="14">
                  <c:v>5390.0967741935483</c:v>
                </c:pt>
                <c:pt idx="15">
                  <c:v>5390.0967741935483</c:v>
                </c:pt>
                <c:pt idx="16">
                  <c:v>5390.0967741935483</c:v>
                </c:pt>
                <c:pt idx="17">
                  <c:v>5390.0967741935483</c:v>
                </c:pt>
                <c:pt idx="18">
                  <c:v>5390.0967741935483</c:v>
                </c:pt>
                <c:pt idx="19">
                  <c:v>5390.0967741935483</c:v>
                </c:pt>
                <c:pt idx="20">
                  <c:v>5390.0967741935483</c:v>
                </c:pt>
                <c:pt idx="21">
                  <c:v>5390.0967741935483</c:v>
                </c:pt>
                <c:pt idx="22">
                  <c:v>5390.0967741935483</c:v>
                </c:pt>
                <c:pt idx="23">
                  <c:v>5390.0967741935483</c:v>
                </c:pt>
                <c:pt idx="24">
                  <c:v>5390.0967741935483</c:v>
                </c:pt>
                <c:pt idx="25">
                  <c:v>5390.0967741935483</c:v>
                </c:pt>
                <c:pt idx="26">
                  <c:v>5390.0967741935483</c:v>
                </c:pt>
                <c:pt idx="27">
                  <c:v>5390.0967741935483</c:v>
                </c:pt>
                <c:pt idx="28">
                  <c:v>5390.0967741935483</c:v>
                </c:pt>
                <c:pt idx="29">
                  <c:v>5390.0967741935483</c:v>
                </c:pt>
                <c:pt idx="30">
                  <c:v>5390.0967741935483</c:v>
                </c:pt>
                <c:pt idx="31">
                  <c:v>5390.0967741935483</c:v>
                </c:pt>
                <c:pt idx="32">
                  <c:v>5390.0967741935483</c:v>
                </c:pt>
                <c:pt idx="33">
                  <c:v>4291.3931034482757</c:v>
                </c:pt>
                <c:pt idx="34">
                  <c:v>4291.3931034482757</c:v>
                </c:pt>
                <c:pt idx="35">
                  <c:v>4291.3931034482757</c:v>
                </c:pt>
                <c:pt idx="36">
                  <c:v>4291.3931034482757</c:v>
                </c:pt>
                <c:pt idx="37">
                  <c:v>4291.3931034482757</c:v>
                </c:pt>
                <c:pt idx="38">
                  <c:v>4291.3931034482757</c:v>
                </c:pt>
                <c:pt idx="39">
                  <c:v>4291.3931034482757</c:v>
                </c:pt>
                <c:pt idx="40">
                  <c:v>4291.3931034482757</c:v>
                </c:pt>
                <c:pt idx="41">
                  <c:v>4291.3931034482757</c:v>
                </c:pt>
                <c:pt idx="42">
                  <c:v>4291.3931034482757</c:v>
                </c:pt>
                <c:pt idx="43">
                  <c:v>4291.3931034482757</c:v>
                </c:pt>
                <c:pt idx="44">
                  <c:v>4291.3931034482757</c:v>
                </c:pt>
                <c:pt idx="45">
                  <c:v>4291.3931034482757</c:v>
                </c:pt>
                <c:pt idx="46">
                  <c:v>4291.3931034482757</c:v>
                </c:pt>
                <c:pt idx="47">
                  <c:v>4291.3931034482757</c:v>
                </c:pt>
                <c:pt idx="48">
                  <c:v>4291.3931034482757</c:v>
                </c:pt>
                <c:pt idx="49">
                  <c:v>4291.3931034482757</c:v>
                </c:pt>
                <c:pt idx="50">
                  <c:v>4291.3931034482757</c:v>
                </c:pt>
                <c:pt idx="51">
                  <c:v>4291.3931034482757</c:v>
                </c:pt>
                <c:pt idx="52">
                  <c:v>4291.3931034482757</c:v>
                </c:pt>
                <c:pt idx="53">
                  <c:v>4291.3931034482757</c:v>
                </c:pt>
                <c:pt idx="54">
                  <c:v>4291.3931034482757</c:v>
                </c:pt>
                <c:pt idx="55">
                  <c:v>4291.3931034482757</c:v>
                </c:pt>
                <c:pt idx="56">
                  <c:v>4291.3931034482757</c:v>
                </c:pt>
                <c:pt idx="57">
                  <c:v>4291.3931034482757</c:v>
                </c:pt>
                <c:pt idx="58">
                  <c:v>4291.3931034482757</c:v>
                </c:pt>
                <c:pt idx="59">
                  <c:v>4291.3931034482757</c:v>
                </c:pt>
                <c:pt idx="60">
                  <c:v>4291.3931034482757</c:v>
                </c:pt>
              </c:numCache>
              <c:extLst>
                <c:ext xmlns:c15="http://schemas.microsoft.com/office/drawing/2012/chart" uri="{02D57815-91ED-43cb-92C2-25804820EDAC}">
                  <c15:fullRef>
                    <c15:sqref>'calls summary'!$C$59:$C$122</c15:sqref>
                  </c15:fullRef>
                </c:ext>
              </c:extLst>
            </c:numRef>
          </c:val>
          <c:smooth val="0"/>
        </c:ser>
        <c:dLbls>
          <c:showLegendKey val="0"/>
          <c:showVal val="0"/>
          <c:showCatName val="0"/>
          <c:showSerName val="0"/>
          <c:showPercent val="0"/>
          <c:showBubbleSize val="0"/>
        </c:dLbls>
        <c:marker val="1"/>
        <c:smooth val="0"/>
        <c:axId val="114545792"/>
        <c:axId val="114547328"/>
      </c:lineChart>
      <c:catAx>
        <c:axId val="114545792"/>
        <c:scaling>
          <c:orientation val="minMax"/>
        </c:scaling>
        <c:delete val="0"/>
        <c:axPos val="b"/>
        <c:numFmt formatCode="m/d;@" sourceLinked="0"/>
        <c:majorTickMark val="out"/>
        <c:minorTickMark val="none"/>
        <c:tickLblPos val="nextTo"/>
        <c:spPr>
          <a:ln/>
        </c:spPr>
        <c:txPr>
          <a:bodyPr rot="-2700000"/>
          <a:lstStyle/>
          <a:p>
            <a:pPr>
              <a:defRPr sz="700"/>
            </a:pPr>
            <a:endParaRPr lang="en-US"/>
          </a:p>
        </c:txPr>
        <c:crossAx val="114547328"/>
        <c:crosses val="autoZero"/>
        <c:auto val="0"/>
        <c:lblAlgn val="ctr"/>
        <c:lblOffset val="100"/>
        <c:tickLblSkip val="2"/>
        <c:noMultiLvlLbl val="1"/>
      </c:catAx>
      <c:valAx>
        <c:axId val="114547328"/>
        <c:scaling>
          <c:orientation val="minMax"/>
          <c:max val="14000"/>
        </c:scaling>
        <c:delete val="0"/>
        <c:axPos val="l"/>
        <c:majorGridlines>
          <c:spPr>
            <a:ln>
              <a:solidFill>
                <a:schemeClr val="bg1">
                  <a:lumMod val="85000"/>
                </a:schemeClr>
              </a:solidFill>
            </a:ln>
          </c:spPr>
        </c:majorGridlines>
        <c:numFmt formatCode="_(* #,##0_);_(* \(#,##0\);_(* &quot;-&quot;??_);_(@_)" sourceLinked="1"/>
        <c:majorTickMark val="none"/>
        <c:minorTickMark val="none"/>
        <c:tickLblPos val="nextTo"/>
        <c:spPr>
          <a:ln w="9525">
            <a:noFill/>
          </a:ln>
        </c:spPr>
        <c:txPr>
          <a:bodyPr/>
          <a:lstStyle/>
          <a:p>
            <a:pPr>
              <a:defRPr sz="700"/>
            </a:pPr>
            <a:endParaRPr lang="en-US"/>
          </a:p>
        </c:txPr>
        <c:crossAx val="114545792"/>
        <c:crosses val="autoZero"/>
        <c:crossBetween val="between"/>
      </c:valAx>
      <c:spPr>
        <a:noFill/>
        <a:ln w="9525">
          <a:solidFill>
            <a:schemeClr val="bg1">
              <a:lumMod val="50000"/>
            </a:schemeClr>
          </a:solidFill>
        </a:ln>
      </c:spPr>
    </c:plotArea>
    <c:legend>
      <c:legendPos val="b"/>
      <c:layout/>
      <c:overlay val="0"/>
      <c:txPr>
        <a:bodyPr/>
        <a:lstStyle/>
        <a:p>
          <a:pPr>
            <a:defRPr sz="800"/>
          </a:pPr>
          <a:endParaRPr lang="en-US"/>
        </a:p>
      </c:txPr>
    </c:legend>
    <c:plotVisOnly val="1"/>
    <c:dispBlanksAs val="zero"/>
    <c:showDLblsOverMax val="0"/>
  </c:chart>
  <c:spPr>
    <a:ln w="9525">
      <a:solidFill>
        <a:schemeClr val="tx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Answering of Calls Received</a:t>
            </a:r>
          </a:p>
        </c:rich>
      </c:tx>
      <c:layout/>
      <c:overlay val="0"/>
    </c:title>
    <c:autoTitleDeleted val="0"/>
    <c:plotArea>
      <c:layout/>
      <c:barChart>
        <c:barDir val="col"/>
        <c:grouping val="percentStacked"/>
        <c:varyColors val="0"/>
        <c:ser>
          <c:idx val="0"/>
          <c:order val="0"/>
          <c:tx>
            <c:strRef>
              <c:f>'Number calls on hold'!$B$11</c:f>
              <c:strCache>
                <c:ptCount val="1"/>
                <c:pt idx="0">
                  <c:v>Calls Answered w/o Being Placed on Hold</c:v>
                </c:pt>
              </c:strCache>
            </c:strRef>
          </c:tx>
          <c:spPr>
            <a:solidFill>
              <a:schemeClr val="accent1"/>
            </a:solidFill>
            <a:ln>
              <a:solidFill>
                <a:schemeClr val="accent1"/>
              </a:solidFill>
            </a:ln>
          </c:spPr>
          <c:invertIfNegative val="0"/>
          <c:dLbls>
            <c:spPr>
              <a:noFill/>
              <a:ln>
                <a:noFill/>
              </a:ln>
              <a:effectLst/>
            </c:spPr>
            <c:txPr>
              <a:bodyPr/>
              <a:lstStyle/>
              <a:p>
                <a:pPr>
                  <a:defRPr sz="5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'Number calls on hold'!$I$10:$BJ$10</c:f>
              <c:numCache>
                <c:formatCode>d\-mmm</c:formatCode>
                <c:ptCount val="14"/>
                <c:pt idx="0">
                  <c:v>41654</c:v>
                </c:pt>
                <c:pt idx="1">
                  <c:v>41655</c:v>
                </c:pt>
                <c:pt idx="2">
                  <c:v>41656</c:v>
                </c:pt>
                <c:pt idx="3">
                  <c:v>41657</c:v>
                </c:pt>
                <c:pt idx="4">
                  <c:v>41658</c:v>
                </c:pt>
                <c:pt idx="5">
                  <c:v>41659</c:v>
                </c:pt>
                <c:pt idx="6">
                  <c:v>41660</c:v>
                </c:pt>
                <c:pt idx="7">
                  <c:v>41661</c:v>
                </c:pt>
                <c:pt idx="8">
                  <c:v>41662</c:v>
                </c:pt>
                <c:pt idx="9">
                  <c:v>41663</c:v>
                </c:pt>
                <c:pt idx="10">
                  <c:v>41664</c:v>
                </c:pt>
                <c:pt idx="11">
                  <c:v>41665</c:v>
                </c:pt>
                <c:pt idx="12">
                  <c:v>41666</c:v>
                </c:pt>
                <c:pt idx="13">
                  <c:v>41667</c:v>
                </c:pt>
              </c:numCache>
              <c:extLst/>
            </c:numRef>
          </c:cat>
          <c:val>
            <c:numRef>
              <c:f>'Number calls on hold'!$I$16:$BJ$16</c:f>
              <c:numCache>
                <c:formatCode>0.0%</c:formatCode>
                <c:ptCount val="14"/>
                <c:pt idx="0">
                  <c:v>0.83746474691999406</c:v>
                </c:pt>
                <c:pt idx="1">
                  <c:v>0.94500412881915774</c:v>
                </c:pt>
                <c:pt idx="2">
                  <c:v>0.94708097928436907</c:v>
                </c:pt>
                <c:pt idx="3">
                  <c:v>0.91858273652468903</c:v>
                </c:pt>
                <c:pt idx="4">
                  <c:v>0.9063753901025412</c:v>
                </c:pt>
                <c:pt idx="5">
                  <c:v>0.91409691629955947</c:v>
                </c:pt>
                <c:pt idx="6">
                  <c:v>0.9494372585251134</c:v>
                </c:pt>
                <c:pt idx="7">
                  <c:v>0.95673624288425052</c:v>
                </c:pt>
                <c:pt idx="8">
                  <c:v>0.92257644762524393</c:v>
                </c:pt>
                <c:pt idx="9">
                  <c:v>0.93757834043619959</c:v>
                </c:pt>
                <c:pt idx="10">
                  <c:v>0.89124783362218374</c:v>
                </c:pt>
                <c:pt idx="11">
                  <c:v>0.86425094645754463</c:v>
                </c:pt>
                <c:pt idx="12">
                  <c:v>0.9285323110624315</c:v>
                </c:pt>
                <c:pt idx="13">
                  <c:v>0.94463667820069208</c:v>
                </c:pt>
              </c:numCache>
              <c:extLst/>
            </c:numRef>
          </c:val>
        </c:ser>
        <c:ser>
          <c:idx val="2"/>
          <c:order val="1"/>
          <c:tx>
            <c:strRef>
              <c:f>'Number calls on hold'!$B$13</c:f>
              <c:strCache>
                <c:ptCount val="1"/>
                <c:pt idx="0">
                  <c:v>Calls Placed on Hold</c:v>
                </c:pt>
              </c:strCache>
            </c:strRef>
          </c:tx>
          <c:spPr>
            <a:solidFill>
              <a:schemeClr val="accent3"/>
            </a:solidFill>
            <a:ln>
              <a:solidFill>
                <a:schemeClr val="accent3"/>
              </a:solidFill>
            </a:ln>
          </c:spPr>
          <c:invertIfNegative val="0"/>
          <c:dLbls>
            <c:spPr>
              <a:noFill/>
              <a:ln>
                <a:noFill/>
              </a:ln>
              <a:effectLst/>
            </c:spPr>
            <c:txPr>
              <a:bodyPr/>
              <a:lstStyle/>
              <a:p>
                <a:pPr>
                  <a:defRPr sz="5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'Number calls on hold'!$I$10:$BJ$10</c:f>
              <c:numCache>
                <c:formatCode>d\-mmm</c:formatCode>
                <c:ptCount val="14"/>
                <c:pt idx="0">
                  <c:v>41654</c:v>
                </c:pt>
                <c:pt idx="1">
                  <c:v>41655</c:v>
                </c:pt>
                <c:pt idx="2">
                  <c:v>41656</c:v>
                </c:pt>
                <c:pt idx="3">
                  <c:v>41657</c:v>
                </c:pt>
                <c:pt idx="4">
                  <c:v>41658</c:v>
                </c:pt>
                <c:pt idx="5">
                  <c:v>41659</c:v>
                </c:pt>
                <c:pt idx="6">
                  <c:v>41660</c:v>
                </c:pt>
                <c:pt idx="7">
                  <c:v>41661</c:v>
                </c:pt>
                <c:pt idx="8">
                  <c:v>41662</c:v>
                </c:pt>
                <c:pt idx="9">
                  <c:v>41663</c:v>
                </c:pt>
                <c:pt idx="10">
                  <c:v>41664</c:v>
                </c:pt>
                <c:pt idx="11">
                  <c:v>41665</c:v>
                </c:pt>
                <c:pt idx="12">
                  <c:v>41666</c:v>
                </c:pt>
                <c:pt idx="13">
                  <c:v>41667</c:v>
                </c:pt>
              </c:numCache>
              <c:extLst/>
            </c:numRef>
          </c:cat>
          <c:val>
            <c:numRef>
              <c:f>'Number calls on hold'!$I$18:$BJ$18</c:f>
              <c:numCache>
                <c:formatCode>0.0%</c:formatCode>
                <c:ptCount val="14"/>
                <c:pt idx="0">
                  <c:v>0.1413091880659047</c:v>
                </c:pt>
                <c:pt idx="1">
                  <c:v>3.9141205615194054E-2</c:v>
                </c:pt>
                <c:pt idx="2">
                  <c:v>3.7476459510357815E-2</c:v>
                </c:pt>
                <c:pt idx="3">
                  <c:v>5.2016584998115338E-2</c:v>
                </c:pt>
                <c:pt idx="4">
                  <c:v>6.5537226928221129E-2</c:v>
                </c:pt>
                <c:pt idx="5">
                  <c:v>6.3676411694032833E-2</c:v>
                </c:pt>
                <c:pt idx="6">
                  <c:v>3.6620191500083991E-2</c:v>
                </c:pt>
                <c:pt idx="7">
                  <c:v>3.1878557874762806E-2</c:v>
                </c:pt>
                <c:pt idx="8">
                  <c:v>6.2242463673823467E-2</c:v>
                </c:pt>
                <c:pt idx="9">
                  <c:v>3.7352719979944847E-2</c:v>
                </c:pt>
                <c:pt idx="10">
                  <c:v>6.9324090121317156E-2</c:v>
                </c:pt>
                <c:pt idx="11">
                  <c:v>8.1665765278528937E-2</c:v>
                </c:pt>
                <c:pt idx="12">
                  <c:v>5.0109529025191675E-2</c:v>
                </c:pt>
                <c:pt idx="13">
                  <c:v>3.6465264838967261E-2</c:v>
                </c:pt>
              </c:numCache>
              <c:extLst/>
            </c:numRef>
          </c:val>
        </c:ser>
        <c:ser>
          <c:idx val="1"/>
          <c:order val="2"/>
          <c:tx>
            <c:strRef>
              <c:f>'Number calls on hold'!$B$12</c:f>
              <c:strCache>
                <c:ptCount val="1"/>
                <c:pt idx="0">
                  <c:v>Calls Abandoned by Caller</c:v>
                </c:pt>
              </c:strCache>
            </c:strRef>
          </c:tx>
          <c:spPr>
            <a:ln>
              <a:solidFill>
                <a:schemeClr val="accent2"/>
              </a:solidFill>
            </a:ln>
          </c:spPr>
          <c:invertIfNegative val="0"/>
          <c:dLbls>
            <c:dLbl>
              <c:idx val="0"/>
              <c:layout>
                <c:manualLayout>
                  <c:x val="0"/>
                  <c:y val="-3.448293963254595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467454068241469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926552930883642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3.88888888888888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7.8346673280123027E-17"/>
                  <c:y val="-3.888888888888891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3.888888888888889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3.6208223972003524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0"/>
                  <c:y val="-3.3333333333333333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0"/>
                  <c:y val="-2.7729548257274313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3.3275457908729177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0"/>
                  <c:y val="-3.3333333333333333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0"/>
                  <c:y val="-3.327545790872917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5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'Number calls on hold'!$I$10:$BJ$10</c:f>
              <c:numCache>
                <c:formatCode>d\-mmm</c:formatCode>
                <c:ptCount val="14"/>
                <c:pt idx="0">
                  <c:v>41654</c:v>
                </c:pt>
                <c:pt idx="1">
                  <c:v>41655</c:v>
                </c:pt>
                <c:pt idx="2">
                  <c:v>41656</c:v>
                </c:pt>
                <c:pt idx="3">
                  <c:v>41657</c:v>
                </c:pt>
                <c:pt idx="4">
                  <c:v>41658</c:v>
                </c:pt>
                <c:pt idx="5">
                  <c:v>41659</c:v>
                </c:pt>
                <c:pt idx="6">
                  <c:v>41660</c:v>
                </c:pt>
                <c:pt idx="7">
                  <c:v>41661</c:v>
                </c:pt>
                <c:pt idx="8">
                  <c:v>41662</c:v>
                </c:pt>
                <c:pt idx="9">
                  <c:v>41663</c:v>
                </c:pt>
                <c:pt idx="10">
                  <c:v>41664</c:v>
                </c:pt>
                <c:pt idx="11">
                  <c:v>41665</c:v>
                </c:pt>
                <c:pt idx="12">
                  <c:v>41666</c:v>
                </c:pt>
                <c:pt idx="13">
                  <c:v>41667</c:v>
                </c:pt>
              </c:numCache>
              <c:extLst/>
            </c:numRef>
          </c:cat>
          <c:val>
            <c:numRef>
              <c:f>'Number calls on hold'!$I$17:$BJ$17</c:f>
              <c:numCache>
                <c:formatCode>0.0%</c:formatCode>
                <c:ptCount val="14"/>
                <c:pt idx="0">
                  <c:v>2.1226065014101233E-2</c:v>
                </c:pt>
                <c:pt idx="1">
                  <c:v>1.5854665565648223E-2</c:v>
                </c:pt>
                <c:pt idx="2">
                  <c:v>1.544256120527307E-2</c:v>
                </c:pt>
                <c:pt idx="3">
                  <c:v>2.9400678477195626E-2</c:v>
                </c:pt>
                <c:pt idx="4">
                  <c:v>2.8087382969237629E-2</c:v>
                </c:pt>
                <c:pt idx="5">
                  <c:v>2.222667200640769E-2</c:v>
                </c:pt>
                <c:pt idx="6">
                  <c:v>1.3942549974802621E-2</c:v>
                </c:pt>
                <c:pt idx="7">
                  <c:v>1.1385199240986717E-2</c:v>
                </c:pt>
                <c:pt idx="8">
                  <c:v>1.5181088700932552E-2</c:v>
                </c:pt>
                <c:pt idx="9">
                  <c:v>2.5068939583855605E-2</c:v>
                </c:pt>
                <c:pt idx="10">
                  <c:v>3.9428076256499134E-2</c:v>
                </c:pt>
                <c:pt idx="11">
                  <c:v>5.4083288263926443E-2</c:v>
                </c:pt>
                <c:pt idx="12">
                  <c:v>2.135815991237678E-2</c:v>
                </c:pt>
                <c:pt idx="13">
                  <c:v>1.8898056960340696E-2</c:v>
                </c:pt>
              </c:numCache>
              <c:extLst/>
            </c:numRef>
          </c:val>
          <c:extLst/>
        </c:ser>
        <c:dLbls>
          <c:showLegendKey val="0"/>
          <c:showVal val="0"/>
          <c:showCatName val="0"/>
          <c:showSerName val="0"/>
          <c:showPercent val="0"/>
          <c:showBubbleSize val="0"/>
        </c:dLbls>
        <c:gapWidth val="75"/>
        <c:overlap val="100"/>
        <c:axId val="116548736"/>
        <c:axId val="116550272"/>
      </c:barChart>
      <c:catAx>
        <c:axId val="116548736"/>
        <c:scaling>
          <c:orientation val="minMax"/>
        </c:scaling>
        <c:delete val="0"/>
        <c:axPos val="b"/>
        <c:numFmt formatCode="m/d;@" sourceLinked="0"/>
        <c:majorTickMark val="out"/>
        <c:minorTickMark val="none"/>
        <c:tickLblPos val="nextTo"/>
        <c:spPr>
          <a:ln>
            <a:solidFill>
              <a:schemeClr val="bg1">
                <a:lumMod val="50000"/>
              </a:schemeClr>
            </a:solidFill>
          </a:ln>
        </c:spPr>
        <c:txPr>
          <a:bodyPr rot="-2700000"/>
          <a:lstStyle/>
          <a:p>
            <a:pPr>
              <a:defRPr sz="700">
                <a:solidFill>
                  <a:schemeClr val="tx1"/>
                </a:solidFill>
              </a:defRPr>
            </a:pPr>
            <a:endParaRPr lang="en-US"/>
          </a:p>
        </c:txPr>
        <c:crossAx val="116550272"/>
        <c:crosses val="autoZero"/>
        <c:auto val="0"/>
        <c:lblAlgn val="ctr"/>
        <c:lblOffset val="100"/>
        <c:noMultiLvlLbl val="1"/>
      </c:catAx>
      <c:valAx>
        <c:axId val="116550272"/>
        <c:scaling>
          <c:orientation val="minMax"/>
          <c:min val="0"/>
        </c:scaling>
        <c:delete val="0"/>
        <c:axPos val="l"/>
        <c:majorGridlines>
          <c:spPr>
            <a:ln>
              <a:solidFill>
                <a:schemeClr val="bg1">
                  <a:lumMod val="85000"/>
                </a:schemeClr>
              </a:solidFill>
            </a:ln>
          </c:spPr>
        </c:majorGridlines>
        <c:numFmt formatCode="0%" sourceLinked="1"/>
        <c:majorTickMark val="none"/>
        <c:minorTickMark val="none"/>
        <c:tickLblPos val="nextTo"/>
        <c:spPr>
          <a:ln w="9525">
            <a:noFill/>
          </a:ln>
        </c:spPr>
        <c:txPr>
          <a:bodyPr/>
          <a:lstStyle/>
          <a:p>
            <a:pPr>
              <a:defRPr sz="700">
                <a:solidFill>
                  <a:schemeClr val="tx1"/>
                </a:solidFill>
              </a:defRPr>
            </a:pPr>
            <a:endParaRPr lang="en-US"/>
          </a:p>
        </c:txPr>
        <c:crossAx val="116548736"/>
        <c:crosses val="autoZero"/>
        <c:crossBetween val="between"/>
      </c:valAx>
      <c:spPr>
        <a:ln>
          <a:solidFill>
            <a:schemeClr val="bg1">
              <a:lumMod val="50000"/>
            </a:schemeClr>
          </a:solidFill>
        </a:ln>
      </c:spPr>
    </c:plotArea>
    <c:legend>
      <c:legendPos val="b"/>
      <c:layout/>
      <c:overlay val="0"/>
      <c:txPr>
        <a:bodyPr/>
        <a:lstStyle/>
        <a:p>
          <a:pPr>
            <a:defRPr sz="800">
              <a:solidFill>
                <a:schemeClr val="tx1"/>
              </a:solidFill>
            </a:defRPr>
          </a:pPr>
          <a:endParaRPr lang="en-US"/>
        </a:p>
      </c:txPr>
    </c:legend>
    <c:plotVisOnly val="1"/>
    <c:dispBlanksAs val="gap"/>
    <c:showDLblsOverMax val="0"/>
  </c:chart>
  <c:spPr>
    <a:ln>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000"/>
            </a:pPr>
            <a:r>
              <a:rPr lang="en-US" sz="1000"/>
              <a:t>Average Hold Time</a:t>
            </a:r>
            <a:r>
              <a:rPr lang="en-US" sz="1000" b="0"/>
              <a:t> </a:t>
            </a:r>
          </a:p>
        </c:rich>
      </c:tx>
      <c:layout>
        <c:manualLayout>
          <c:xMode val="edge"/>
          <c:yMode val="edge"/>
          <c:x val="0.40685190793458509"/>
          <c:y val="2.2022941576747349E-2"/>
        </c:manualLayout>
      </c:layout>
      <c:overlay val="0"/>
    </c:title>
    <c:autoTitleDeleted val="0"/>
    <c:plotArea>
      <c:layout>
        <c:manualLayout>
          <c:layoutTarget val="inner"/>
          <c:xMode val="edge"/>
          <c:yMode val="edge"/>
          <c:x val="9.5139276945220536E-2"/>
          <c:y val="0.14062788255059144"/>
          <c:w val="0.87640176499257438"/>
          <c:h val="0.59362860892388447"/>
        </c:manualLayout>
      </c:layout>
      <c:lineChart>
        <c:grouping val="standard"/>
        <c:varyColors val="0"/>
        <c:ser>
          <c:idx val="0"/>
          <c:order val="0"/>
          <c:tx>
            <c:strRef>
              <c:f>'COS Stats_hold_msg'!$A$5</c:f>
              <c:strCache>
                <c:ptCount val="1"/>
                <c:pt idx="0">
                  <c:v>Average Hold Time  </c:v>
                </c:pt>
              </c:strCache>
            </c:strRef>
          </c:tx>
          <c:dLbls>
            <c:dLbl>
              <c:idx val="0"/>
              <c:layout>
                <c:manualLayout>
                  <c:x val="-2.9214617403593782E-2"/>
                  <c:y val="3.518941382327209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701998788612962E-2"/>
                  <c:y val="-3.711198600174988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2574365704286965E-2"/>
                  <c:y val="-3.796062992125984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5870684433676562E-2"/>
                  <c:y val="3.290901137357819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2292045225116091E-2"/>
                  <c:y val="-4.855030621172353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0566491688538933E-2"/>
                  <c:y val="3.633289588801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5.6198431926778383E-2"/>
                  <c:y val="-1.442388451443569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4842687933239115E-2"/>
                  <c:y val="4.2699475065616797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8810485227808103E-2"/>
                  <c:y val="-4.5276902887139106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8519519001730623E-2"/>
                  <c:y val="3.0884733158355205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2626186149808195E-2"/>
                  <c:y val="-4.6783027121609901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4.0087631558011802E-2"/>
                  <c:y val="3.0162301198818742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3.4188034188034191E-2"/>
                  <c:y val="-3.5596675415573056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3.4297227269668218E-2"/>
                  <c:y val="4.5327646544181976E-2"/>
                </c:manualLayout>
              </c:layout>
              <c:showLegendKey val="0"/>
              <c:showVal val="1"/>
              <c:showCatName val="0"/>
              <c:showSerName val="0"/>
              <c:showPercent val="0"/>
              <c:showBubbleSize val="0"/>
              <c:extLst>
                <c:ext xmlns:c15="http://schemas.microsoft.com/office/drawing/2012/chart" uri="{CE6537A1-D6FC-4f65-9D91-7224C49458BB}"/>
              </c:extLst>
            </c:dLbl>
            <c:dLbl>
              <c:idx val="14"/>
              <c:layout>
                <c:manualLayout>
                  <c:x val="-2.5153442358166769E-2"/>
                  <c:y val="3.7835520559929905E-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4.3926744733831347E-2"/>
                  <c:y val="-4.003849518810159E-2"/>
                </c:manualLayout>
              </c:layout>
              <c:showLegendKey val="0"/>
              <c:showVal val="1"/>
              <c:showCatName val="0"/>
              <c:showSerName val="0"/>
              <c:showPercent val="0"/>
              <c:showBubbleSize val="0"/>
              <c:extLst>
                <c:ext xmlns:c15="http://schemas.microsoft.com/office/drawing/2012/chart" uri="{CE6537A1-D6FC-4f65-9D91-7224C49458BB}"/>
              </c:extLst>
            </c:dLbl>
            <c:dLbl>
              <c:idx val="16"/>
              <c:layout>
                <c:manualLayout>
                  <c:x val="-3.2051282051282048E-2"/>
                  <c:y val="-4.4444444444444446E-2"/>
                </c:manualLayout>
              </c:layout>
              <c:showLegendKey val="0"/>
              <c:showVal val="1"/>
              <c:showCatName val="0"/>
              <c:showSerName val="0"/>
              <c:showPercent val="0"/>
              <c:showBubbleSize val="0"/>
              <c:extLst>
                <c:ext xmlns:c15="http://schemas.microsoft.com/office/drawing/2012/chart" uri="{CE6537A1-D6FC-4f65-9D91-7224C49458BB}"/>
              </c:extLst>
            </c:dLbl>
            <c:dLbl>
              <c:idx val="17"/>
              <c:layout>
                <c:manualLayout>
                  <c:x val="-1.2470065329425063E-2"/>
                  <c:y val="-1.9444444444444545E-2"/>
                </c:manualLayout>
              </c:layout>
              <c:showLegendKey val="0"/>
              <c:showVal val="1"/>
              <c:showCatName val="0"/>
              <c:showSerName val="0"/>
              <c:showPercent val="0"/>
              <c:showBubbleSize val="0"/>
              <c:extLst>
                <c:ext xmlns:c15="http://schemas.microsoft.com/office/drawing/2012/chart" uri="{CE6537A1-D6FC-4f65-9D91-7224C49458BB}"/>
              </c:extLst>
            </c:dLbl>
            <c:dLbl>
              <c:idx val="18"/>
              <c:layout>
                <c:manualLayout>
                  <c:x val="-3.7409987213136819E-2"/>
                  <c:y val="4.0509186351705938E-2"/>
                </c:manualLayout>
              </c:layout>
              <c:showLegendKey val="0"/>
              <c:showVal val="1"/>
              <c:showCatName val="0"/>
              <c:showSerName val="0"/>
              <c:showPercent val="0"/>
              <c:showBubbleSize val="0"/>
              <c:extLst>
                <c:ext xmlns:c15="http://schemas.microsoft.com/office/drawing/2012/chart" uri="{CE6537A1-D6FC-4f65-9D91-7224C49458BB}"/>
              </c:extLst>
            </c:dLbl>
            <c:dLbl>
              <c:idx val="19"/>
              <c:layout>
                <c:manualLayout>
                  <c:x val="-3.244128137828925E-2"/>
                  <c:y val="3.6111111111111108E-2"/>
                </c:manualLayout>
              </c:layout>
              <c:showLegendKey val="0"/>
              <c:showVal val="1"/>
              <c:showCatName val="0"/>
              <c:showSerName val="0"/>
              <c:showPercent val="0"/>
              <c:showBubbleSize val="0"/>
              <c:extLst>
                <c:ext xmlns:c15="http://schemas.microsoft.com/office/drawing/2012/chart" uri="{CE6537A1-D6FC-4f65-9D91-7224C49458BB}"/>
              </c:extLst>
            </c:dLbl>
            <c:dLbl>
              <c:idx val="20"/>
              <c:layout>
                <c:manualLayout>
                  <c:x val="-3.8523958543643662E-2"/>
                  <c:y val="-4.4444444444444446E-2"/>
                </c:manualLayout>
              </c:layout>
              <c:showLegendKey val="0"/>
              <c:showVal val="1"/>
              <c:showCatName val="0"/>
              <c:showSerName val="0"/>
              <c:showPercent val="0"/>
              <c:showBubbleSize val="0"/>
              <c:extLst>
                <c:ext xmlns:c15="http://schemas.microsoft.com/office/drawing/2012/chart" uri="{CE6537A1-D6FC-4f65-9D91-7224C49458BB}"/>
              </c:extLst>
            </c:dLbl>
            <c:dLbl>
              <c:idx val="21"/>
              <c:layout>
                <c:manualLayout>
                  <c:x val="-3.0522747156605426E-2"/>
                  <c:y val="3.6111111111111011E-2"/>
                </c:manualLayout>
              </c:layout>
              <c:showLegendKey val="0"/>
              <c:showVal val="1"/>
              <c:showCatName val="0"/>
              <c:showSerName val="0"/>
              <c:showPercent val="0"/>
              <c:showBubbleSize val="0"/>
              <c:extLst>
                <c:ext xmlns:c15="http://schemas.microsoft.com/office/drawing/2012/chart" uri="{CE6537A1-D6FC-4f65-9D91-7224C49458BB}"/>
              </c:extLst>
            </c:dLbl>
            <c:dLbl>
              <c:idx val="22"/>
              <c:layout>
                <c:manualLayout>
                  <c:x val="-3.6496399488525476E-2"/>
                  <c:y val="-3.888888888888889E-2"/>
                </c:manualLayout>
              </c:layout>
              <c:showLegendKey val="0"/>
              <c:showVal val="1"/>
              <c:showCatName val="0"/>
              <c:showSerName val="0"/>
              <c:showPercent val="0"/>
              <c:showBubbleSize val="0"/>
              <c:extLst>
                <c:ext xmlns:c15="http://schemas.microsoft.com/office/drawing/2012/chart" uri="{CE6537A1-D6FC-4f65-9D91-7224C49458BB}"/>
              </c:extLst>
            </c:dLbl>
            <c:dLbl>
              <c:idx val="23"/>
              <c:layout>
                <c:manualLayout>
                  <c:x val="-2.0603338044282927E-2"/>
                  <c:y val="-3.6111111111111108E-2"/>
                </c:manualLayout>
              </c:layout>
              <c:showLegendKey val="0"/>
              <c:showVal val="1"/>
              <c:showCatName val="0"/>
              <c:showSerName val="0"/>
              <c:showPercent val="0"/>
              <c:showBubbleSize val="0"/>
              <c:extLst>
                <c:ext xmlns:c15="http://schemas.microsoft.com/office/drawing/2012/chart" uri="{CE6537A1-D6FC-4f65-9D91-7224C49458BB}"/>
              </c:extLst>
            </c:dLbl>
            <c:dLbl>
              <c:idx val="24"/>
              <c:layout>
                <c:manualLayout>
                  <c:x val="-3.8523958543643738E-2"/>
                  <c:y val="3.3333333333333333E-2"/>
                </c:manualLayout>
              </c:layout>
              <c:showLegendKey val="0"/>
              <c:showVal val="1"/>
              <c:showCatName val="0"/>
              <c:showSerName val="0"/>
              <c:showPercent val="0"/>
              <c:showBubbleSize val="0"/>
              <c:extLst>
                <c:ext xmlns:c15="http://schemas.microsoft.com/office/drawing/2012/chart" uri="{CE6537A1-D6FC-4f65-9D91-7224C49458BB}"/>
              </c:extLst>
            </c:dLbl>
            <c:dLbl>
              <c:idx val="25"/>
              <c:layout>
                <c:manualLayout>
                  <c:x val="-2.7777777777777776E-2"/>
                  <c:y val="5.5555555555555552E-2"/>
                </c:manualLayout>
              </c:layout>
              <c:showLegendKey val="0"/>
              <c:showVal val="1"/>
              <c:showCatName val="0"/>
              <c:showSerName val="0"/>
              <c:showPercent val="0"/>
              <c:showBubbleSize val="0"/>
              <c:extLst>
                <c:ext xmlns:c15="http://schemas.microsoft.com/office/drawing/2012/chart" uri="{CE6537A1-D6FC-4f65-9D91-7224C49458BB}"/>
              </c:extLst>
            </c:dLbl>
            <c:dLbl>
              <c:idx val="26"/>
              <c:layout>
                <c:manualLayout>
                  <c:x val="-4.7008547008547168E-2"/>
                  <c:y val="-3.3333333333333333E-2"/>
                </c:manualLayout>
              </c:layout>
              <c:showLegendKey val="0"/>
              <c:showVal val="1"/>
              <c:showCatName val="0"/>
              <c:showSerName val="0"/>
              <c:showPercent val="0"/>
              <c:showBubbleSize val="0"/>
              <c:extLst>
                <c:ext xmlns:c15="http://schemas.microsoft.com/office/drawing/2012/chart" uri="{CE6537A1-D6FC-4f65-9D91-7224C49458BB}"/>
              </c:extLst>
            </c:dLbl>
            <c:dLbl>
              <c:idx val="27"/>
              <c:layout>
                <c:manualLayout>
                  <c:x val="-1.282051282051282E-2"/>
                  <c:y val="-2.2222222222222223E-2"/>
                </c:manualLayout>
              </c:layout>
              <c:showLegendKey val="0"/>
              <c:showVal val="1"/>
              <c:showCatName val="0"/>
              <c:showSerName val="0"/>
              <c:showPercent val="0"/>
              <c:showBubbleSize val="0"/>
              <c:extLst>
                <c:ext xmlns:c15="http://schemas.microsoft.com/office/drawing/2012/chart" uri="{CE6537A1-D6FC-4f65-9D91-7224C49458BB}"/>
              </c:extLst>
            </c:dLbl>
            <c:dLbl>
              <c:idx val="28"/>
              <c:layout>
                <c:manualLayout>
                  <c:x val="-2.9914529914529916E-2"/>
                  <c:y val="3.888888888888889E-2"/>
                </c:manualLayout>
              </c:layout>
              <c:showLegendKey val="0"/>
              <c:showVal val="1"/>
              <c:showCatName val="0"/>
              <c:showSerName val="0"/>
              <c:showPercent val="0"/>
              <c:showBubbleSize val="0"/>
              <c:extLst>
                <c:ext xmlns:c15="http://schemas.microsoft.com/office/drawing/2012/chart" uri="{CE6537A1-D6FC-4f65-9D91-7224C49458BB}"/>
              </c:extLst>
            </c:dLbl>
            <c:dLbl>
              <c:idx val="29"/>
              <c:layout>
                <c:manualLayout>
                  <c:x val="-2.564102564102564E-2"/>
                  <c:y val="-4.444444444444454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6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'COS Stats_hold_msg'!$AE$1:$CD$1</c:f>
              <c:numCache>
                <c:formatCode>d\-mmm</c:formatCode>
                <c:ptCount val="30"/>
                <c:pt idx="0">
                  <c:v>41636</c:v>
                </c:pt>
                <c:pt idx="1">
                  <c:v>41637</c:v>
                </c:pt>
                <c:pt idx="2">
                  <c:v>41638</c:v>
                </c:pt>
                <c:pt idx="3">
                  <c:v>41639</c:v>
                </c:pt>
                <c:pt idx="4">
                  <c:v>41640</c:v>
                </c:pt>
                <c:pt idx="5">
                  <c:v>41641</c:v>
                </c:pt>
                <c:pt idx="6">
                  <c:v>41642</c:v>
                </c:pt>
                <c:pt idx="7">
                  <c:v>41643</c:v>
                </c:pt>
                <c:pt idx="8">
                  <c:v>41644</c:v>
                </c:pt>
                <c:pt idx="9">
                  <c:v>41645</c:v>
                </c:pt>
                <c:pt idx="10">
                  <c:v>41646</c:v>
                </c:pt>
                <c:pt idx="11">
                  <c:v>41647</c:v>
                </c:pt>
                <c:pt idx="12">
                  <c:v>41648</c:v>
                </c:pt>
                <c:pt idx="13">
                  <c:v>41649</c:v>
                </c:pt>
                <c:pt idx="14">
                  <c:v>41650</c:v>
                </c:pt>
                <c:pt idx="15">
                  <c:v>41651</c:v>
                </c:pt>
                <c:pt idx="16">
                  <c:v>41652</c:v>
                </c:pt>
                <c:pt idx="17">
                  <c:v>41653</c:v>
                </c:pt>
                <c:pt idx="18">
                  <c:v>41654</c:v>
                </c:pt>
                <c:pt idx="19">
                  <c:v>41656</c:v>
                </c:pt>
                <c:pt idx="20">
                  <c:v>41657</c:v>
                </c:pt>
                <c:pt idx="21">
                  <c:v>41658</c:v>
                </c:pt>
                <c:pt idx="22">
                  <c:v>41659</c:v>
                </c:pt>
                <c:pt idx="23">
                  <c:v>41660</c:v>
                </c:pt>
                <c:pt idx="24">
                  <c:v>41661</c:v>
                </c:pt>
                <c:pt idx="25">
                  <c:v>41663</c:v>
                </c:pt>
                <c:pt idx="26">
                  <c:v>41664</c:v>
                </c:pt>
                <c:pt idx="27">
                  <c:v>41665</c:v>
                </c:pt>
                <c:pt idx="28">
                  <c:v>41666</c:v>
                </c:pt>
                <c:pt idx="29">
                  <c:v>41667</c:v>
                </c:pt>
              </c:numCache>
              <c:extLst/>
            </c:numRef>
          </c:cat>
          <c:val>
            <c:numRef>
              <c:f>'COS Stats_hold_msg'!$AE$5:$CD$5</c:f>
              <c:numCache>
                <c:formatCode>h:mm</c:formatCode>
                <c:ptCount val="30"/>
                <c:pt idx="0">
                  <c:v>9.0277777777777776E-2</c:v>
                </c:pt>
                <c:pt idx="1">
                  <c:v>8.8888888888888892E-2</c:v>
                </c:pt>
                <c:pt idx="2">
                  <c:v>4.0972222222222222E-2</c:v>
                </c:pt>
                <c:pt idx="3">
                  <c:v>2.5694444444444447E-2</c:v>
                </c:pt>
                <c:pt idx="4">
                  <c:v>3.0555555555555555E-2</c:v>
                </c:pt>
                <c:pt idx="5">
                  <c:v>3.7499999999999999E-2</c:v>
                </c:pt>
                <c:pt idx="6">
                  <c:v>0.10069444444444443</c:v>
                </c:pt>
                <c:pt idx="7">
                  <c:v>7.7777777777777779E-2</c:v>
                </c:pt>
                <c:pt idx="8">
                  <c:v>8.5416666666666655E-2</c:v>
                </c:pt>
                <c:pt idx="9">
                  <c:v>3.4722222222222224E-2</c:v>
                </c:pt>
                <c:pt idx="10">
                  <c:v>9.375E-2</c:v>
                </c:pt>
                <c:pt idx="11">
                  <c:v>6.6666666666666666E-2</c:v>
                </c:pt>
                <c:pt idx="12">
                  <c:v>7.5694444444444439E-2</c:v>
                </c:pt>
                <c:pt idx="13">
                  <c:v>5.0694444444444452E-2</c:v>
                </c:pt>
                <c:pt idx="14">
                  <c:v>8.1250000000000003E-2</c:v>
                </c:pt>
                <c:pt idx="15">
                  <c:v>9.5138888888888884E-2</c:v>
                </c:pt>
                <c:pt idx="16">
                  <c:v>0.16319444444444445</c:v>
                </c:pt>
                <c:pt idx="17">
                  <c:v>6.3888888888888884E-2</c:v>
                </c:pt>
                <c:pt idx="18">
                  <c:v>3.9583333333333331E-2</c:v>
                </c:pt>
                <c:pt idx="19">
                  <c:v>3.2638888888888891E-2</c:v>
                </c:pt>
                <c:pt idx="20">
                  <c:v>4.5138888888888888E-2</c:v>
                </c:pt>
                <c:pt idx="21">
                  <c:v>5.1388888888888894E-2</c:v>
                </c:pt>
                <c:pt idx="22">
                  <c:v>5.8333333333333327E-2</c:v>
                </c:pt>
                <c:pt idx="23">
                  <c:v>4.5138888888888888E-2</c:v>
                </c:pt>
                <c:pt idx="24">
                  <c:v>2.8472222222222222E-2</c:v>
                </c:pt>
                <c:pt idx="25">
                  <c:v>6.0416666666666667E-2</c:v>
                </c:pt>
                <c:pt idx="26">
                  <c:v>7.9166666666666663E-2</c:v>
                </c:pt>
                <c:pt idx="27">
                  <c:v>9.3055555555555558E-2</c:v>
                </c:pt>
                <c:pt idx="28">
                  <c:v>4.1666666666666664E-2</c:v>
                </c:pt>
                <c:pt idx="29">
                  <c:v>3.6111111111111115E-2</c:v>
                </c:pt>
              </c:numCache>
              <c:extLst/>
            </c:numRef>
          </c:val>
          <c:smooth val="0"/>
          <c:extLst/>
        </c:ser>
        <c:ser>
          <c:idx val="1"/>
          <c:order val="1"/>
          <c:tx>
            <c:strRef>
              <c:f>'COS Stats_hold_msg'!$A$6</c:f>
              <c:strCache>
                <c:ptCount val="1"/>
                <c:pt idx="0">
                  <c:v>Target </c:v>
                </c:pt>
              </c:strCache>
            </c:strRef>
          </c:tx>
          <c:marker>
            <c:symbol val="none"/>
          </c:marker>
          <c:cat>
            <c:numRef>
              <c:f>'COS Stats_hold_msg'!$AE$1:$CD$1</c:f>
              <c:numCache>
                <c:formatCode>d\-mmm</c:formatCode>
                <c:ptCount val="30"/>
                <c:pt idx="0">
                  <c:v>41636</c:v>
                </c:pt>
                <c:pt idx="1">
                  <c:v>41637</c:v>
                </c:pt>
                <c:pt idx="2">
                  <c:v>41638</c:v>
                </c:pt>
                <c:pt idx="3">
                  <c:v>41639</c:v>
                </c:pt>
                <c:pt idx="4">
                  <c:v>41640</c:v>
                </c:pt>
                <c:pt idx="5">
                  <c:v>41641</c:v>
                </c:pt>
                <c:pt idx="6">
                  <c:v>41642</c:v>
                </c:pt>
                <c:pt idx="7">
                  <c:v>41643</c:v>
                </c:pt>
                <c:pt idx="8">
                  <c:v>41644</c:v>
                </c:pt>
                <c:pt idx="9">
                  <c:v>41645</c:v>
                </c:pt>
                <c:pt idx="10">
                  <c:v>41646</c:v>
                </c:pt>
                <c:pt idx="11">
                  <c:v>41647</c:v>
                </c:pt>
                <c:pt idx="12">
                  <c:v>41648</c:v>
                </c:pt>
                <c:pt idx="13">
                  <c:v>41649</c:v>
                </c:pt>
                <c:pt idx="14">
                  <c:v>41650</c:v>
                </c:pt>
                <c:pt idx="15">
                  <c:v>41651</c:v>
                </c:pt>
                <c:pt idx="16">
                  <c:v>41652</c:v>
                </c:pt>
                <c:pt idx="17">
                  <c:v>41653</c:v>
                </c:pt>
                <c:pt idx="18">
                  <c:v>41654</c:v>
                </c:pt>
                <c:pt idx="19">
                  <c:v>41656</c:v>
                </c:pt>
                <c:pt idx="20">
                  <c:v>41657</c:v>
                </c:pt>
                <c:pt idx="21">
                  <c:v>41658</c:v>
                </c:pt>
                <c:pt idx="22">
                  <c:v>41659</c:v>
                </c:pt>
                <c:pt idx="23">
                  <c:v>41660</c:v>
                </c:pt>
                <c:pt idx="24">
                  <c:v>41661</c:v>
                </c:pt>
                <c:pt idx="25">
                  <c:v>41663</c:v>
                </c:pt>
                <c:pt idx="26">
                  <c:v>41664</c:v>
                </c:pt>
                <c:pt idx="27">
                  <c:v>41665</c:v>
                </c:pt>
                <c:pt idx="28">
                  <c:v>41666</c:v>
                </c:pt>
                <c:pt idx="29">
                  <c:v>41667</c:v>
                </c:pt>
              </c:numCache>
              <c:extLst/>
            </c:numRef>
          </c:cat>
          <c:val>
            <c:numRef>
              <c:f>'COS Stats_hold_msg'!$AD$6:$CD$6</c:f>
              <c:numCache>
                <c:formatCode>h:mm</c:formatCode>
                <c:ptCount val="30"/>
                <c:pt idx="0">
                  <c:v>0.20833333333333301</c:v>
                </c:pt>
                <c:pt idx="1">
                  <c:v>0.20833333333333301</c:v>
                </c:pt>
                <c:pt idx="2">
                  <c:v>0.20833333333333301</c:v>
                </c:pt>
                <c:pt idx="3">
                  <c:v>0.20833333333333301</c:v>
                </c:pt>
                <c:pt idx="4">
                  <c:v>0.20833333333333301</c:v>
                </c:pt>
                <c:pt idx="5">
                  <c:v>0.20833333333333301</c:v>
                </c:pt>
                <c:pt idx="6">
                  <c:v>0.20833333333333301</c:v>
                </c:pt>
                <c:pt idx="7">
                  <c:v>0.20833333333333301</c:v>
                </c:pt>
                <c:pt idx="8">
                  <c:v>0.20833333333333301</c:v>
                </c:pt>
                <c:pt idx="9">
                  <c:v>0.20833333333333301</c:v>
                </c:pt>
                <c:pt idx="10">
                  <c:v>0.20833333333333301</c:v>
                </c:pt>
                <c:pt idx="11">
                  <c:v>0.20833333333333301</c:v>
                </c:pt>
                <c:pt idx="12">
                  <c:v>0.20833333333333301</c:v>
                </c:pt>
                <c:pt idx="13">
                  <c:v>0.20833333333333301</c:v>
                </c:pt>
                <c:pt idx="14">
                  <c:v>0.20833333333333301</c:v>
                </c:pt>
                <c:pt idx="15">
                  <c:v>0.20833333333333301</c:v>
                </c:pt>
                <c:pt idx="16">
                  <c:v>0.20833333333333301</c:v>
                </c:pt>
                <c:pt idx="17">
                  <c:v>0.20833333333333301</c:v>
                </c:pt>
                <c:pt idx="18">
                  <c:v>0.20833333333333301</c:v>
                </c:pt>
                <c:pt idx="19">
                  <c:v>0.20833333333333301</c:v>
                </c:pt>
                <c:pt idx="20">
                  <c:v>0.20833333333333301</c:v>
                </c:pt>
                <c:pt idx="21">
                  <c:v>0.20833333333333301</c:v>
                </c:pt>
                <c:pt idx="22">
                  <c:v>0.20833333333333301</c:v>
                </c:pt>
                <c:pt idx="23">
                  <c:v>0.20833333333333301</c:v>
                </c:pt>
                <c:pt idx="24">
                  <c:v>0.20833333333333301</c:v>
                </c:pt>
                <c:pt idx="25">
                  <c:v>0.20833333333333301</c:v>
                </c:pt>
                <c:pt idx="26">
                  <c:v>0.20833333333333301</c:v>
                </c:pt>
                <c:pt idx="27">
                  <c:v>0.20833333333333301</c:v>
                </c:pt>
                <c:pt idx="28">
                  <c:v>0.20833333333333301</c:v>
                </c:pt>
                <c:pt idx="29">
                  <c:v>0.20833333333333301</c:v>
                </c:pt>
              </c:numCache>
              <c:extLst/>
            </c:numRef>
          </c:val>
          <c:smooth val="0"/>
        </c:ser>
        <c:dLbls>
          <c:showLegendKey val="0"/>
          <c:showVal val="0"/>
          <c:showCatName val="0"/>
          <c:showSerName val="0"/>
          <c:showPercent val="0"/>
          <c:showBubbleSize val="0"/>
        </c:dLbls>
        <c:marker val="1"/>
        <c:smooth val="0"/>
        <c:axId val="118374400"/>
        <c:axId val="118375936"/>
      </c:lineChart>
      <c:dateAx>
        <c:axId val="118374400"/>
        <c:scaling>
          <c:orientation val="minMax"/>
        </c:scaling>
        <c:delete val="0"/>
        <c:axPos val="b"/>
        <c:numFmt formatCode="m/d;@" sourceLinked="0"/>
        <c:majorTickMark val="out"/>
        <c:minorTickMark val="none"/>
        <c:tickLblPos val="nextTo"/>
        <c:spPr>
          <a:ln>
            <a:solidFill>
              <a:schemeClr val="bg1">
                <a:lumMod val="50000"/>
              </a:schemeClr>
            </a:solidFill>
          </a:ln>
        </c:spPr>
        <c:txPr>
          <a:bodyPr rot="-3000000"/>
          <a:lstStyle/>
          <a:p>
            <a:pPr>
              <a:defRPr sz="700">
                <a:solidFill>
                  <a:schemeClr val="tx1"/>
                </a:solidFill>
              </a:defRPr>
            </a:pPr>
            <a:endParaRPr lang="en-US"/>
          </a:p>
        </c:txPr>
        <c:crossAx val="118375936"/>
        <c:crosses val="autoZero"/>
        <c:auto val="1"/>
        <c:lblOffset val="100"/>
        <c:baseTimeUnit val="days"/>
        <c:majorUnit val="1"/>
      </c:dateAx>
      <c:valAx>
        <c:axId val="118375936"/>
        <c:scaling>
          <c:orientation val="minMax"/>
          <c:max val="0.29200000000000004"/>
          <c:min val="0"/>
        </c:scaling>
        <c:delete val="0"/>
        <c:axPos val="l"/>
        <c:majorGridlines>
          <c:spPr>
            <a:ln>
              <a:solidFill>
                <a:schemeClr val="bg1">
                  <a:lumMod val="85000"/>
                </a:schemeClr>
              </a:solidFill>
            </a:ln>
          </c:spPr>
        </c:majorGridlines>
        <c:numFmt formatCode="h:mm" sourceLinked="1"/>
        <c:majorTickMark val="none"/>
        <c:minorTickMark val="none"/>
        <c:tickLblPos val="nextTo"/>
        <c:txPr>
          <a:bodyPr/>
          <a:lstStyle/>
          <a:p>
            <a:pPr>
              <a:defRPr sz="700">
                <a:solidFill>
                  <a:schemeClr val="tx1"/>
                </a:solidFill>
              </a:defRPr>
            </a:pPr>
            <a:endParaRPr lang="en-US"/>
          </a:p>
        </c:txPr>
        <c:crossAx val="118374400"/>
        <c:crosses val="autoZero"/>
        <c:crossBetween val="between"/>
        <c:majorUnit val="4.1700000000000008E-2"/>
      </c:valAx>
      <c:spPr>
        <a:ln>
          <a:solidFill>
            <a:schemeClr val="bg1">
              <a:lumMod val="50000"/>
            </a:schemeClr>
          </a:solidFill>
        </a:ln>
      </c:spPr>
    </c:plotArea>
    <c:legend>
      <c:legendPos val="b"/>
      <c:layout/>
      <c:overlay val="0"/>
      <c:txPr>
        <a:bodyPr/>
        <a:lstStyle/>
        <a:p>
          <a:pPr>
            <a:defRPr sz="800">
              <a:solidFill>
                <a:schemeClr val="tx1"/>
              </a:solidFill>
            </a:defRPr>
          </a:pPr>
          <a:endParaRPr lang="en-US"/>
        </a:p>
      </c:txPr>
    </c:legend>
    <c:plotVisOnly val="1"/>
    <c:dispBlanksAs val="gap"/>
    <c:showDLblsOverMax val="0"/>
  </c:chart>
  <c:spPr>
    <a:ln w="9525">
      <a:solidFill>
        <a:schemeClr val="tx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Average Hold by Hour</a:t>
            </a:r>
          </a:p>
        </c:rich>
      </c:tx>
      <c:layout/>
      <c:overlay val="0"/>
    </c:title>
    <c:autoTitleDeleted val="0"/>
    <c:plotArea>
      <c:layout>
        <c:manualLayout>
          <c:layoutTarget val="inner"/>
          <c:xMode val="edge"/>
          <c:yMode val="edge"/>
          <c:x val="0.10626354398007941"/>
          <c:y val="0.14501399825021871"/>
          <c:w val="0.85115731427732122"/>
          <c:h val="0.60286964129483811"/>
        </c:manualLayout>
      </c:layout>
      <c:barChart>
        <c:barDir val="col"/>
        <c:grouping val="clustered"/>
        <c:varyColors val="0"/>
        <c:ser>
          <c:idx val="0"/>
          <c:order val="0"/>
          <c:tx>
            <c:v>Average Hold Time</c:v>
          </c:tx>
          <c:invertIfNegative val="0"/>
          <c:cat>
            <c:numRef>
              <c:f>'AHT Hourly'!$A$80:$A$103</c:f>
              <c:numCache>
                <c:formatCode>h:mm;@</c:formatCode>
                <c:ptCount val="24"/>
                <c:pt idx="0">
                  <c:v>0</c:v>
                </c:pt>
                <c:pt idx="1">
                  <c:v>4.1666666666666664E-2</c:v>
                </c:pt>
                <c:pt idx="2">
                  <c:v>8.3333333333333301E-2</c:v>
                </c:pt>
                <c:pt idx="3">
                  <c:v>0.125</c:v>
                </c:pt>
                <c:pt idx="4">
                  <c:v>0.16666666666666699</c:v>
                </c:pt>
                <c:pt idx="5">
                  <c:v>0.20833333333333301</c:v>
                </c:pt>
                <c:pt idx="6">
                  <c:v>0.25</c:v>
                </c:pt>
                <c:pt idx="7">
                  <c:v>0.29166666666666702</c:v>
                </c:pt>
                <c:pt idx="8">
                  <c:v>0.33333333333333298</c:v>
                </c:pt>
                <c:pt idx="9">
                  <c:v>0.375</c:v>
                </c:pt>
                <c:pt idx="10">
                  <c:v>0.41666666666666702</c:v>
                </c:pt>
                <c:pt idx="11">
                  <c:v>0.45833333333333298</c:v>
                </c:pt>
                <c:pt idx="12">
                  <c:v>0.5</c:v>
                </c:pt>
                <c:pt idx="13">
                  <c:v>0.54166666666666696</c:v>
                </c:pt>
                <c:pt idx="14">
                  <c:v>0.58333333333333304</c:v>
                </c:pt>
                <c:pt idx="15">
                  <c:v>0.625</c:v>
                </c:pt>
                <c:pt idx="16">
                  <c:v>0.66666666666666696</c:v>
                </c:pt>
                <c:pt idx="17">
                  <c:v>0.70833333333333304</c:v>
                </c:pt>
                <c:pt idx="18">
                  <c:v>0.75</c:v>
                </c:pt>
                <c:pt idx="19">
                  <c:v>0.79166666666666696</c:v>
                </c:pt>
                <c:pt idx="20">
                  <c:v>0.83333333333333304</c:v>
                </c:pt>
                <c:pt idx="21">
                  <c:v>0.875</c:v>
                </c:pt>
                <c:pt idx="22">
                  <c:v>0.91666666666666696</c:v>
                </c:pt>
                <c:pt idx="23">
                  <c:v>0.95833333333333304</c:v>
                </c:pt>
              </c:numCache>
            </c:numRef>
          </c:cat>
          <c:val>
            <c:numRef>
              <c:f>'AHT Hourly'!$CT$80:$CT$103</c:f>
              <c:numCache>
                <c:formatCode>[h]:mm:ss</c:formatCode>
                <c:ptCount val="24"/>
                <c:pt idx="0">
                  <c:v>1.4797008657425408E-3</c:v>
                </c:pt>
                <c:pt idx="1">
                  <c:v>1.7687156835407461E-3</c:v>
                </c:pt>
                <c:pt idx="2">
                  <c:v>8.0147478649881859E-4</c:v>
                </c:pt>
                <c:pt idx="3">
                  <c:v>7.0948940114883409E-4</c:v>
                </c:pt>
                <c:pt idx="4">
                  <c:v>8.5967095888011104E-4</c:v>
                </c:pt>
                <c:pt idx="5">
                  <c:v>8.8635143235712261E-4</c:v>
                </c:pt>
                <c:pt idx="6">
                  <c:v>4.3223716303492879E-4</c:v>
                </c:pt>
                <c:pt idx="7">
                  <c:v>2.436110260420536E-4</c:v>
                </c:pt>
                <c:pt idx="8">
                  <c:v>2.9655637326973853E-4</c:v>
                </c:pt>
                <c:pt idx="9">
                  <c:v>3.2991983959231833E-4</c:v>
                </c:pt>
                <c:pt idx="10">
                  <c:v>2.2774743379248437E-4</c:v>
                </c:pt>
                <c:pt idx="11">
                  <c:v>2.2644849173625089E-4</c:v>
                </c:pt>
                <c:pt idx="12">
                  <c:v>2.4444954866433168E-4</c:v>
                </c:pt>
                <c:pt idx="13">
                  <c:v>2.7088846366960927E-4</c:v>
                </c:pt>
                <c:pt idx="14">
                  <c:v>2.5357062131337949E-4</c:v>
                </c:pt>
                <c:pt idx="15">
                  <c:v>4.636732640806605E-4</c:v>
                </c:pt>
                <c:pt idx="16">
                  <c:v>3.4551067356127028E-4</c:v>
                </c:pt>
                <c:pt idx="17">
                  <c:v>5.0865019728017801E-4</c:v>
                </c:pt>
                <c:pt idx="18">
                  <c:v>7.4477023004414428E-4</c:v>
                </c:pt>
                <c:pt idx="19">
                  <c:v>7.7177524550658483E-4</c:v>
                </c:pt>
                <c:pt idx="20">
                  <c:v>6.4671901111365169E-4</c:v>
                </c:pt>
                <c:pt idx="21">
                  <c:v>3.6674852014424811E-4</c:v>
                </c:pt>
                <c:pt idx="22">
                  <c:v>2.4063187441612292E-4</c:v>
                </c:pt>
                <c:pt idx="23">
                  <c:v>1.9115018055966847E-4</c:v>
                </c:pt>
              </c:numCache>
            </c:numRef>
          </c:val>
        </c:ser>
        <c:dLbls>
          <c:showLegendKey val="0"/>
          <c:showVal val="0"/>
          <c:showCatName val="0"/>
          <c:showSerName val="0"/>
          <c:showPercent val="0"/>
          <c:showBubbleSize val="0"/>
        </c:dLbls>
        <c:gapWidth val="75"/>
        <c:axId val="118417664"/>
        <c:axId val="118419456"/>
      </c:barChart>
      <c:catAx>
        <c:axId val="118417664"/>
        <c:scaling>
          <c:orientation val="minMax"/>
        </c:scaling>
        <c:delete val="0"/>
        <c:axPos val="b"/>
        <c:numFmt formatCode="h:mm;@" sourceLinked="0"/>
        <c:majorTickMark val="out"/>
        <c:minorTickMark val="none"/>
        <c:tickLblPos val="nextTo"/>
        <c:spPr>
          <a:ln>
            <a:solidFill>
              <a:schemeClr val="bg1">
                <a:lumMod val="50000"/>
              </a:schemeClr>
            </a:solidFill>
          </a:ln>
        </c:spPr>
        <c:txPr>
          <a:bodyPr rot="-3000000"/>
          <a:lstStyle/>
          <a:p>
            <a:pPr>
              <a:defRPr sz="700"/>
            </a:pPr>
            <a:endParaRPr lang="en-US"/>
          </a:p>
        </c:txPr>
        <c:crossAx val="118419456"/>
        <c:crosses val="autoZero"/>
        <c:auto val="1"/>
        <c:lblAlgn val="ctr"/>
        <c:lblOffset val="100"/>
        <c:noMultiLvlLbl val="0"/>
      </c:catAx>
      <c:valAx>
        <c:axId val="118419456"/>
        <c:scaling>
          <c:orientation val="minMax"/>
          <c:max val="3.4700000000000013E-3"/>
          <c:min val="0"/>
        </c:scaling>
        <c:delete val="0"/>
        <c:axPos val="l"/>
        <c:majorGridlines>
          <c:spPr>
            <a:ln>
              <a:solidFill>
                <a:schemeClr val="bg1">
                  <a:lumMod val="85000"/>
                </a:schemeClr>
              </a:solidFill>
            </a:ln>
          </c:spPr>
        </c:majorGridlines>
        <c:numFmt formatCode="m:ss" sourceLinked="0"/>
        <c:majorTickMark val="none"/>
        <c:minorTickMark val="none"/>
        <c:tickLblPos val="nextTo"/>
        <c:spPr>
          <a:ln w="9525">
            <a:noFill/>
          </a:ln>
        </c:spPr>
        <c:txPr>
          <a:bodyPr/>
          <a:lstStyle/>
          <a:p>
            <a:pPr>
              <a:defRPr sz="700"/>
            </a:pPr>
            <a:endParaRPr lang="en-US"/>
          </a:p>
        </c:txPr>
        <c:crossAx val="118417664"/>
        <c:crosses val="autoZero"/>
        <c:crossBetween val="between"/>
        <c:majorUnit val="3.4700000000000009E-4"/>
      </c:valAx>
      <c:spPr>
        <a:ln>
          <a:solidFill>
            <a:schemeClr val="bg1">
              <a:lumMod val="50000"/>
            </a:schemeClr>
          </a:solidFill>
        </a:ln>
      </c:spPr>
    </c:plotArea>
    <c:legend>
      <c:legendPos val="b"/>
      <c:layout/>
      <c:overlay val="0"/>
      <c:txPr>
        <a:bodyPr/>
        <a:lstStyle/>
        <a:p>
          <a:pPr>
            <a:defRPr sz="800"/>
          </a:pPr>
          <a:endParaRPr lang="en-US"/>
        </a:p>
      </c:txPr>
    </c:legend>
    <c:plotVisOnly val="1"/>
    <c:dispBlanksAs val="gap"/>
    <c:showDLblsOverMax val="0"/>
  </c:chart>
  <c:spPr>
    <a:ln w="9525">
      <a:solidFill>
        <a:schemeClr val="tx1"/>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Avg. Tap Time</a:t>
            </a:r>
            <a:r>
              <a:rPr lang="en-US" sz="1000" baseline="0"/>
              <a:t> Per Day</a:t>
            </a:r>
            <a:endParaRPr lang="en-US" sz="1000"/>
          </a:p>
        </c:rich>
      </c:tx>
      <c:layout/>
      <c:overlay val="0"/>
    </c:title>
    <c:autoTitleDeleted val="0"/>
    <c:plotArea>
      <c:layout>
        <c:manualLayout>
          <c:layoutTarget val="inner"/>
          <c:xMode val="edge"/>
          <c:yMode val="edge"/>
          <c:x val="9.7095867824214283E-2"/>
          <c:y val="0.16154199475065617"/>
          <c:w val="0.87939985867151227"/>
          <c:h val="0.56548818897637798"/>
        </c:manualLayout>
      </c:layout>
      <c:lineChart>
        <c:grouping val="standard"/>
        <c:varyColors val="0"/>
        <c:ser>
          <c:idx val="0"/>
          <c:order val="0"/>
          <c:tx>
            <c:strRef>
              <c:f>Rail!$BF$66</c:f>
              <c:strCache>
                <c:ptCount val="1"/>
                <c:pt idx="0">
                  <c:v>Rail</c:v>
                </c:pt>
              </c:strCache>
            </c:strRef>
          </c:tx>
          <c:marker>
            <c:symbol val="diamond"/>
            <c:size val="4"/>
          </c:marker>
          <c:cat>
            <c:numRef>
              <c:f>Rail!$BE$67:$BE$125</c:f>
              <c:numCache>
                <c:formatCode>d\-mmm</c:formatCode>
                <c:ptCount val="59"/>
                <c:pt idx="0">
                  <c:v>41609</c:v>
                </c:pt>
                <c:pt idx="1">
                  <c:v>41610</c:v>
                </c:pt>
                <c:pt idx="2">
                  <c:v>41611</c:v>
                </c:pt>
                <c:pt idx="3">
                  <c:v>41612</c:v>
                </c:pt>
                <c:pt idx="4">
                  <c:v>41613</c:v>
                </c:pt>
                <c:pt idx="5">
                  <c:v>41614</c:v>
                </c:pt>
                <c:pt idx="6">
                  <c:v>41615</c:v>
                </c:pt>
                <c:pt idx="7">
                  <c:v>41616</c:v>
                </c:pt>
                <c:pt idx="8">
                  <c:v>41617</c:v>
                </c:pt>
                <c:pt idx="9">
                  <c:v>41618</c:v>
                </c:pt>
                <c:pt idx="10">
                  <c:v>41619</c:v>
                </c:pt>
                <c:pt idx="11">
                  <c:v>41620</c:v>
                </c:pt>
                <c:pt idx="12">
                  <c:v>41621</c:v>
                </c:pt>
                <c:pt idx="13">
                  <c:v>41622</c:v>
                </c:pt>
                <c:pt idx="14">
                  <c:v>41623</c:v>
                </c:pt>
                <c:pt idx="15">
                  <c:v>41624</c:v>
                </c:pt>
                <c:pt idx="16">
                  <c:v>41625</c:v>
                </c:pt>
                <c:pt idx="17">
                  <c:v>41626</c:v>
                </c:pt>
                <c:pt idx="18">
                  <c:v>41627</c:v>
                </c:pt>
                <c:pt idx="19">
                  <c:v>41628</c:v>
                </c:pt>
                <c:pt idx="20">
                  <c:v>41629</c:v>
                </c:pt>
                <c:pt idx="21">
                  <c:v>41630</c:v>
                </c:pt>
                <c:pt idx="22">
                  <c:v>41631</c:v>
                </c:pt>
                <c:pt idx="23">
                  <c:v>41632</c:v>
                </c:pt>
                <c:pt idx="24">
                  <c:v>41633</c:v>
                </c:pt>
                <c:pt idx="25">
                  <c:v>41634</c:v>
                </c:pt>
                <c:pt idx="26">
                  <c:v>41635</c:v>
                </c:pt>
                <c:pt idx="27">
                  <c:v>41636</c:v>
                </c:pt>
                <c:pt idx="28">
                  <c:v>41637</c:v>
                </c:pt>
                <c:pt idx="29">
                  <c:v>41638</c:v>
                </c:pt>
                <c:pt idx="30">
                  <c:v>41639</c:v>
                </c:pt>
                <c:pt idx="31">
                  <c:v>41640</c:v>
                </c:pt>
                <c:pt idx="32">
                  <c:v>41641</c:v>
                </c:pt>
                <c:pt idx="33">
                  <c:v>41642</c:v>
                </c:pt>
                <c:pt idx="34">
                  <c:v>41643</c:v>
                </c:pt>
                <c:pt idx="35">
                  <c:v>41644</c:v>
                </c:pt>
                <c:pt idx="36">
                  <c:v>41645</c:v>
                </c:pt>
                <c:pt idx="37">
                  <c:v>41646</c:v>
                </c:pt>
                <c:pt idx="38">
                  <c:v>41647</c:v>
                </c:pt>
                <c:pt idx="39">
                  <c:v>41648</c:v>
                </c:pt>
                <c:pt idx="40">
                  <c:v>41649</c:v>
                </c:pt>
                <c:pt idx="41">
                  <c:v>41650</c:v>
                </c:pt>
                <c:pt idx="42">
                  <c:v>41651</c:v>
                </c:pt>
                <c:pt idx="43">
                  <c:v>41652</c:v>
                </c:pt>
                <c:pt idx="44">
                  <c:v>41653</c:v>
                </c:pt>
                <c:pt idx="45">
                  <c:v>41654</c:v>
                </c:pt>
                <c:pt idx="46">
                  <c:v>41655</c:v>
                </c:pt>
                <c:pt idx="47">
                  <c:v>41656</c:v>
                </c:pt>
                <c:pt idx="48">
                  <c:v>41657</c:v>
                </c:pt>
                <c:pt idx="49">
                  <c:v>41658</c:v>
                </c:pt>
                <c:pt idx="50">
                  <c:v>41659</c:v>
                </c:pt>
                <c:pt idx="51">
                  <c:v>41660</c:v>
                </c:pt>
                <c:pt idx="52">
                  <c:v>41661</c:v>
                </c:pt>
                <c:pt idx="53">
                  <c:v>41662</c:v>
                </c:pt>
                <c:pt idx="54">
                  <c:v>41663</c:v>
                </c:pt>
                <c:pt idx="55">
                  <c:v>41664</c:v>
                </c:pt>
                <c:pt idx="56">
                  <c:v>41665</c:v>
                </c:pt>
                <c:pt idx="57">
                  <c:v>41666</c:v>
                </c:pt>
                <c:pt idx="58">
                  <c:v>41667</c:v>
                </c:pt>
              </c:numCache>
            </c:numRef>
          </c:cat>
          <c:val>
            <c:numRef>
              <c:f>Rail!$BF$67:$BF$125</c:f>
              <c:numCache>
                <c:formatCode>General</c:formatCode>
                <c:ptCount val="59"/>
                <c:pt idx="0">
                  <c:v>0.57884158274094344</c:v>
                </c:pt>
                <c:pt idx="1">
                  <c:v>0.61597978100096962</c:v>
                </c:pt>
                <c:pt idx="2">
                  <c:v>0.57225652395191928</c:v>
                </c:pt>
                <c:pt idx="3">
                  <c:v>0.57414948995295256</c:v>
                </c:pt>
                <c:pt idx="4">
                  <c:v>0.56184496304550313</c:v>
                </c:pt>
                <c:pt idx="5">
                  <c:v>0.56664425973259269</c:v>
                </c:pt>
                <c:pt idx="6">
                  <c:v>0.50829672591056341</c:v>
                </c:pt>
                <c:pt idx="7">
                  <c:v>0.51062404990478105</c:v>
                </c:pt>
                <c:pt idx="8">
                  <c:v>0.51193140760082301</c:v>
                </c:pt>
                <c:pt idx="9">
                  <c:v>0.53510024913494803</c:v>
                </c:pt>
                <c:pt idx="10">
                  <c:v>0.52207250816351281</c:v>
                </c:pt>
                <c:pt idx="11">
                  <c:v>0.51297371280645254</c:v>
                </c:pt>
                <c:pt idx="12">
                  <c:v>0.48716071482159468</c:v>
                </c:pt>
                <c:pt idx="13">
                  <c:v>0.49465126812267313</c:v>
                </c:pt>
                <c:pt idx="14">
                  <c:v>0.51920797164092836</c:v>
                </c:pt>
                <c:pt idx="15">
                  <c:v>0.54695275143779243</c:v>
                </c:pt>
                <c:pt idx="16">
                  <c:v>0.49949037330257073</c:v>
                </c:pt>
                <c:pt idx="17">
                  <c:v>0.51255038959263655</c:v>
                </c:pt>
                <c:pt idx="18">
                  <c:v>0.49742667675298224</c:v>
                </c:pt>
                <c:pt idx="19">
                  <c:v>0.51885060456383192</c:v>
                </c:pt>
                <c:pt idx="20">
                  <c:v>0.51336348196785986</c:v>
                </c:pt>
                <c:pt idx="21">
                  <c:v>0.50951739502022675</c:v>
                </c:pt>
                <c:pt idx="22">
                  <c:v>0.50251750809009899</c:v>
                </c:pt>
                <c:pt idx="23">
                  <c:v>0.50594678904586221</c:v>
                </c:pt>
                <c:pt idx="24">
                  <c:v>0.51528344319029507</c:v>
                </c:pt>
                <c:pt idx="25">
                  <c:v>0.50757770264957935</c:v>
                </c:pt>
                <c:pt idx="26">
                  <c:v>0.51054623527657672</c:v>
                </c:pt>
                <c:pt idx="27">
                  <c:v>0.50981166970204028</c:v>
                </c:pt>
                <c:pt idx="28">
                  <c:v>0.51163351968235404</c:v>
                </c:pt>
                <c:pt idx="29">
                  <c:v>0.52269827071965436</c:v>
                </c:pt>
                <c:pt idx="30">
                  <c:v>0.50791580968051553</c:v>
                </c:pt>
                <c:pt idx="31">
                  <c:v>0.50451748139723018</c:v>
                </c:pt>
                <c:pt idx="32">
                  <c:v>0.51557672411559641</c:v>
                </c:pt>
                <c:pt idx="33">
                  <c:v>0.50064948807226062</c:v>
                </c:pt>
                <c:pt idx="34">
                  <c:v>0.50930301052307658</c:v>
                </c:pt>
                <c:pt idx="35">
                  <c:v>0.50938341335297355</c:v>
                </c:pt>
                <c:pt idx="36">
                  <c:v>0.50059704563124219</c:v>
                </c:pt>
                <c:pt idx="37">
                  <c:v>0.50742546571541813</c:v>
                </c:pt>
                <c:pt idx="38">
                  <c:v>0.51149503625133352</c:v>
                </c:pt>
                <c:pt idx="39">
                  <c:v>0.50534925533313357</c:v>
                </c:pt>
                <c:pt idx="40">
                  <c:v>0.52512320461401341</c:v>
                </c:pt>
                <c:pt idx="41">
                  <c:v>0.51656378818469939</c:v>
                </c:pt>
                <c:pt idx="42">
                  <c:v>0.51656745663519554</c:v>
                </c:pt>
                <c:pt idx="43">
                  <c:v>0.54564011459852146</c:v>
                </c:pt>
                <c:pt idx="44">
                  <c:v>0.56160053643324492</c:v>
                </c:pt>
                <c:pt idx="45">
                  <c:v>0.56346086336922852</c:v>
                </c:pt>
                <c:pt idx="46">
                  <c:v>0.56346086336922852</c:v>
                </c:pt>
                <c:pt idx="47">
                  <c:v>0.60623192613692967</c:v>
                </c:pt>
                <c:pt idx="48">
                  <c:v>0.51264868055002066</c:v>
                </c:pt>
                <c:pt idx="49">
                  <c:v>0.51016187039735361</c:v>
                </c:pt>
                <c:pt idx="50">
                  <c:v>0.52035226155803593</c:v>
                </c:pt>
                <c:pt idx="51">
                  <c:v>0.62246849505469048</c:v>
                </c:pt>
                <c:pt idx="52">
                  <c:v>0.61560704120690379</c:v>
                </c:pt>
                <c:pt idx="53">
                  <c:v>0.66397372714486647</c:v>
                </c:pt>
                <c:pt idx="54">
                  <c:v>0.59787023464340538</c:v>
                </c:pt>
                <c:pt idx="55">
                  <c:v>0.5912501439037755</c:v>
                </c:pt>
                <c:pt idx="56">
                  <c:v>0.57227929009461698</c:v>
                </c:pt>
                <c:pt idx="57">
                  <c:v>0.50104745422308694</c:v>
                </c:pt>
                <c:pt idx="58">
                  <c:v>0.49595509593349257</c:v>
                </c:pt>
              </c:numCache>
            </c:numRef>
          </c:val>
          <c:smooth val="0"/>
        </c:ser>
        <c:ser>
          <c:idx val="1"/>
          <c:order val="1"/>
          <c:tx>
            <c:strRef>
              <c:f>Rail!$BG$66</c:f>
              <c:strCache>
                <c:ptCount val="1"/>
                <c:pt idx="0">
                  <c:v>Bus</c:v>
                </c:pt>
              </c:strCache>
            </c:strRef>
          </c:tx>
          <c:marker>
            <c:symbol val="square"/>
            <c:size val="4"/>
          </c:marker>
          <c:cat>
            <c:numRef>
              <c:f>Rail!$BE$67:$BE$125</c:f>
              <c:numCache>
                <c:formatCode>d\-mmm</c:formatCode>
                <c:ptCount val="59"/>
                <c:pt idx="0">
                  <c:v>41609</c:v>
                </c:pt>
                <c:pt idx="1">
                  <c:v>41610</c:v>
                </c:pt>
                <c:pt idx="2">
                  <c:v>41611</c:v>
                </c:pt>
                <c:pt idx="3">
                  <c:v>41612</c:v>
                </c:pt>
                <c:pt idx="4">
                  <c:v>41613</c:v>
                </c:pt>
                <c:pt idx="5">
                  <c:v>41614</c:v>
                </c:pt>
                <c:pt idx="6">
                  <c:v>41615</c:v>
                </c:pt>
                <c:pt idx="7">
                  <c:v>41616</c:v>
                </c:pt>
                <c:pt idx="8">
                  <c:v>41617</c:v>
                </c:pt>
                <c:pt idx="9">
                  <c:v>41618</c:v>
                </c:pt>
                <c:pt idx="10">
                  <c:v>41619</c:v>
                </c:pt>
                <c:pt idx="11">
                  <c:v>41620</c:v>
                </c:pt>
                <c:pt idx="12">
                  <c:v>41621</c:v>
                </c:pt>
                <c:pt idx="13">
                  <c:v>41622</c:v>
                </c:pt>
                <c:pt idx="14">
                  <c:v>41623</c:v>
                </c:pt>
                <c:pt idx="15">
                  <c:v>41624</c:v>
                </c:pt>
                <c:pt idx="16">
                  <c:v>41625</c:v>
                </c:pt>
                <c:pt idx="17">
                  <c:v>41626</c:v>
                </c:pt>
                <c:pt idx="18">
                  <c:v>41627</c:v>
                </c:pt>
                <c:pt idx="19">
                  <c:v>41628</c:v>
                </c:pt>
                <c:pt idx="20">
                  <c:v>41629</c:v>
                </c:pt>
                <c:pt idx="21">
                  <c:v>41630</c:v>
                </c:pt>
                <c:pt idx="22">
                  <c:v>41631</c:v>
                </c:pt>
                <c:pt idx="23">
                  <c:v>41632</c:v>
                </c:pt>
                <c:pt idx="24">
                  <c:v>41633</c:v>
                </c:pt>
                <c:pt idx="25">
                  <c:v>41634</c:v>
                </c:pt>
                <c:pt idx="26">
                  <c:v>41635</c:v>
                </c:pt>
                <c:pt idx="27">
                  <c:v>41636</c:v>
                </c:pt>
                <c:pt idx="28">
                  <c:v>41637</c:v>
                </c:pt>
                <c:pt idx="29">
                  <c:v>41638</c:v>
                </c:pt>
                <c:pt idx="30">
                  <c:v>41639</c:v>
                </c:pt>
                <c:pt idx="31">
                  <c:v>41640</c:v>
                </c:pt>
                <c:pt idx="32">
                  <c:v>41641</c:v>
                </c:pt>
                <c:pt idx="33">
                  <c:v>41642</c:v>
                </c:pt>
                <c:pt idx="34">
                  <c:v>41643</c:v>
                </c:pt>
                <c:pt idx="35">
                  <c:v>41644</c:v>
                </c:pt>
                <c:pt idx="36">
                  <c:v>41645</c:v>
                </c:pt>
                <c:pt idx="37">
                  <c:v>41646</c:v>
                </c:pt>
                <c:pt idx="38">
                  <c:v>41647</c:v>
                </c:pt>
                <c:pt idx="39">
                  <c:v>41648</c:v>
                </c:pt>
                <c:pt idx="40">
                  <c:v>41649</c:v>
                </c:pt>
                <c:pt idx="41">
                  <c:v>41650</c:v>
                </c:pt>
                <c:pt idx="42">
                  <c:v>41651</c:v>
                </c:pt>
                <c:pt idx="43">
                  <c:v>41652</c:v>
                </c:pt>
                <c:pt idx="44">
                  <c:v>41653</c:v>
                </c:pt>
                <c:pt idx="45">
                  <c:v>41654</c:v>
                </c:pt>
                <c:pt idx="46">
                  <c:v>41655</c:v>
                </c:pt>
                <c:pt idx="47">
                  <c:v>41656</c:v>
                </c:pt>
                <c:pt idx="48">
                  <c:v>41657</c:v>
                </c:pt>
                <c:pt idx="49">
                  <c:v>41658</c:v>
                </c:pt>
                <c:pt idx="50">
                  <c:v>41659</c:v>
                </c:pt>
                <c:pt idx="51">
                  <c:v>41660</c:v>
                </c:pt>
                <c:pt idx="52">
                  <c:v>41661</c:v>
                </c:pt>
                <c:pt idx="53">
                  <c:v>41662</c:v>
                </c:pt>
                <c:pt idx="54">
                  <c:v>41663</c:v>
                </c:pt>
                <c:pt idx="55">
                  <c:v>41664</c:v>
                </c:pt>
                <c:pt idx="56">
                  <c:v>41665</c:v>
                </c:pt>
                <c:pt idx="57">
                  <c:v>41666</c:v>
                </c:pt>
                <c:pt idx="58">
                  <c:v>41667</c:v>
                </c:pt>
              </c:numCache>
            </c:numRef>
          </c:cat>
          <c:val>
            <c:numRef>
              <c:f>Rail!$BG$67:$BG$125</c:f>
              <c:numCache>
                <c:formatCode>General</c:formatCode>
                <c:ptCount val="59"/>
                <c:pt idx="0">
                  <c:v>1.1570568018716865</c:v>
                </c:pt>
                <c:pt idx="1">
                  <c:v>1.1338225204659407</c:v>
                </c:pt>
                <c:pt idx="2">
                  <c:v>1.1113554735206403</c:v>
                </c:pt>
                <c:pt idx="3">
                  <c:v>1.0718890325305341</c:v>
                </c:pt>
                <c:pt idx="4">
                  <c:v>1.0589513298067623</c:v>
                </c:pt>
                <c:pt idx="5">
                  <c:v>1.0419673858759784</c:v>
                </c:pt>
                <c:pt idx="6">
                  <c:v>0.92168314102850502</c:v>
                </c:pt>
                <c:pt idx="7">
                  <c:v>0.93452215841413944</c:v>
                </c:pt>
                <c:pt idx="8">
                  <c:v>0.88233255788772003</c:v>
                </c:pt>
                <c:pt idx="9">
                  <c:v>0.89717868054692673</c:v>
                </c:pt>
                <c:pt idx="10">
                  <c:v>0.94035795281505696</c:v>
                </c:pt>
                <c:pt idx="11">
                  <c:v>0.86050818417283093</c:v>
                </c:pt>
                <c:pt idx="12">
                  <c:v>0.77649704142967679</c:v>
                </c:pt>
                <c:pt idx="13">
                  <c:v>0.86403553072686956</c:v>
                </c:pt>
                <c:pt idx="14">
                  <c:v>0.94989343805049908</c:v>
                </c:pt>
                <c:pt idx="15">
                  <c:v>0.9795433313053471</c:v>
                </c:pt>
                <c:pt idx="16">
                  <c:v>0.90001674532017117</c:v>
                </c:pt>
                <c:pt idx="17">
                  <c:v>0.92771640398826527</c:v>
                </c:pt>
                <c:pt idx="18">
                  <c:v>0.90404034115600174</c:v>
                </c:pt>
                <c:pt idx="19">
                  <c:v>0.95458193748920739</c:v>
                </c:pt>
                <c:pt idx="20">
                  <c:v>0.95719470550928731</c:v>
                </c:pt>
                <c:pt idx="21">
                  <c:v>0.96878635980365058</c:v>
                </c:pt>
                <c:pt idx="22">
                  <c:v>0.93459870536758904</c:v>
                </c:pt>
                <c:pt idx="23">
                  <c:v>0.95339520458920379</c:v>
                </c:pt>
                <c:pt idx="24">
                  <c:v>0.98280874887288627</c:v>
                </c:pt>
                <c:pt idx="25">
                  <c:v>0.93989076109795233</c:v>
                </c:pt>
                <c:pt idx="26">
                  <c:v>0.91910725393387604</c:v>
                </c:pt>
                <c:pt idx="27">
                  <c:v>0.92567592713789992</c:v>
                </c:pt>
                <c:pt idx="28">
                  <c:v>0.94975504441504444</c:v>
                </c:pt>
                <c:pt idx="29">
                  <c:v>0.91476751932652411</c:v>
                </c:pt>
                <c:pt idx="30">
                  <c:v>0.91288342923319621</c:v>
                </c:pt>
                <c:pt idx="31">
                  <c:v>0.94530774560520592</c:v>
                </c:pt>
                <c:pt idx="32">
                  <c:v>0.89055765139260101</c:v>
                </c:pt>
                <c:pt idx="33">
                  <c:v>0.89176916970188536</c:v>
                </c:pt>
                <c:pt idx="34">
                  <c:v>0.93886482106427194</c:v>
                </c:pt>
                <c:pt idx="35">
                  <c:v>0.968823973161414</c:v>
                </c:pt>
                <c:pt idx="36">
                  <c:v>0.94741328291357663</c:v>
                </c:pt>
                <c:pt idx="37">
                  <c:v>0.90672307470775348</c:v>
                </c:pt>
                <c:pt idx="38">
                  <c:v>0.86782486518610558</c:v>
                </c:pt>
                <c:pt idx="39">
                  <c:v>0.85209089236192936</c:v>
                </c:pt>
                <c:pt idx="40">
                  <c:v>0.91103040157157433</c:v>
                </c:pt>
                <c:pt idx="41">
                  <c:v>0.94917637773093322</c:v>
                </c:pt>
                <c:pt idx="42">
                  <c:v>0.96434099708732579</c:v>
                </c:pt>
                <c:pt idx="43">
                  <c:v>0.94966797276400094</c:v>
                </c:pt>
                <c:pt idx="44">
                  <c:v>0.9535074491644856</c:v>
                </c:pt>
                <c:pt idx="45">
                  <c:v>0.93717690695822509</c:v>
                </c:pt>
                <c:pt idx="46">
                  <c:v>0.93717690695822509</c:v>
                </c:pt>
                <c:pt idx="47">
                  <c:v>0.97291924610989633</c:v>
                </c:pt>
                <c:pt idx="48">
                  <c:v>0.95179624921609296</c:v>
                </c:pt>
                <c:pt idx="49">
                  <c:v>0.9457004724985858</c:v>
                </c:pt>
                <c:pt idx="50">
                  <c:v>0.94999347251777988</c:v>
                </c:pt>
                <c:pt idx="51">
                  <c:v>0.92725826351853824</c:v>
                </c:pt>
                <c:pt idx="52">
                  <c:v>0.91409653172439431</c:v>
                </c:pt>
                <c:pt idx="53">
                  <c:v>0.99867857854214026</c:v>
                </c:pt>
                <c:pt idx="54">
                  <c:v>0.99469705816891629</c:v>
                </c:pt>
                <c:pt idx="55">
                  <c:v>1.0351560342721431</c:v>
                </c:pt>
                <c:pt idx="56">
                  <c:v>1.0517208113230372</c:v>
                </c:pt>
                <c:pt idx="57">
                  <c:v>0.90971586935899174</c:v>
                </c:pt>
                <c:pt idx="58">
                  <c:v>0.89758248844026434</c:v>
                </c:pt>
              </c:numCache>
            </c:numRef>
          </c:val>
          <c:smooth val="0"/>
        </c:ser>
        <c:dLbls>
          <c:showLegendKey val="0"/>
          <c:showVal val="0"/>
          <c:showCatName val="0"/>
          <c:showSerName val="0"/>
          <c:showPercent val="0"/>
          <c:showBubbleSize val="0"/>
        </c:dLbls>
        <c:marker val="1"/>
        <c:smooth val="0"/>
        <c:axId val="116236672"/>
        <c:axId val="116238208"/>
      </c:lineChart>
      <c:dateAx>
        <c:axId val="116236672"/>
        <c:scaling>
          <c:orientation val="minMax"/>
        </c:scaling>
        <c:delete val="0"/>
        <c:axPos val="b"/>
        <c:numFmt formatCode="m/d;@" sourceLinked="0"/>
        <c:majorTickMark val="out"/>
        <c:minorTickMark val="none"/>
        <c:tickLblPos val="nextTo"/>
        <c:spPr>
          <a:ln>
            <a:solidFill>
              <a:schemeClr val="bg1">
                <a:lumMod val="50000"/>
              </a:schemeClr>
            </a:solidFill>
          </a:ln>
        </c:spPr>
        <c:txPr>
          <a:bodyPr rot="-3000000"/>
          <a:lstStyle/>
          <a:p>
            <a:pPr>
              <a:defRPr sz="700"/>
            </a:pPr>
            <a:endParaRPr lang="en-US"/>
          </a:p>
        </c:txPr>
        <c:crossAx val="116238208"/>
        <c:crosses val="autoZero"/>
        <c:auto val="1"/>
        <c:lblOffset val="100"/>
        <c:baseTimeUnit val="days"/>
      </c:dateAx>
      <c:valAx>
        <c:axId val="116238208"/>
        <c:scaling>
          <c:orientation val="minMax"/>
        </c:scaling>
        <c:delete val="0"/>
        <c:axPos val="l"/>
        <c:majorGridlines>
          <c:spPr>
            <a:ln>
              <a:solidFill>
                <a:schemeClr val="bg1">
                  <a:lumMod val="85000"/>
                </a:schemeClr>
              </a:solidFill>
            </a:ln>
          </c:spPr>
        </c:majorGridlines>
        <c:numFmt formatCode="#,##0.00" sourceLinked="0"/>
        <c:majorTickMark val="none"/>
        <c:minorTickMark val="none"/>
        <c:tickLblPos val="nextTo"/>
        <c:spPr>
          <a:ln w="9525">
            <a:noFill/>
          </a:ln>
        </c:spPr>
        <c:txPr>
          <a:bodyPr/>
          <a:lstStyle/>
          <a:p>
            <a:pPr>
              <a:defRPr sz="700"/>
            </a:pPr>
            <a:endParaRPr lang="en-US"/>
          </a:p>
        </c:txPr>
        <c:crossAx val="116236672"/>
        <c:crosses val="autoZero"/>
        <c:crossBetween val="between"/>
        <c:majorUnit val="0.25"/>
      </c:valAx>
      <c:spPr>
        <a:ln>
          <a:solidFill>
            <a:schemeClr val="bg1">
              <a:lumMod val="50000"/>
            </a:schemeClr>
          </a:solidFill>
        </a:ln>
      </c:spPr>
    </c:plotArea>
    <c:legend>
      <c:legendPos val="b"/>
      <c:layout/>
      <c:overlay val="0"/>
    </c:legend>
    <c:plotVisOnly val="1"/>
    <c:dispBlanksAs val="zero"/>
    <c:showDLblsOverMax val="0"/>
  </c:chart>
  <c:spPr>
    <a:ln w="9525">
      <a:solidFill>
        <a:schemeClr val="tx1"/>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Rail</a:t>
            </a:r>
            <a:r>
              <a:rPr lang="en-US" sz="1000" baseline="0"/>
              <a:t> </a:t>
            </a:r>
            <a:r>
              <a:rPr lang="en-US" sz="1000"/>
              <a:t>Tap Times</a:t>
            </a:r>
          </a:p>
          <a:p>
            <a:pPr>
              <a:defRPr/>
            </a:pPr>
            <a:r>
              <a:rPr lang="en-US" sz="1000"/>
              <a:t>Pre</a:t>
            </a:r>
            <a:r>
              <a:rPr lang="en-US" sz="1000" baseline="0"/>
              <a:t> and Post Software Upgrades</a:t>
            </a:r>
            <a:endParaRPr lang="en-US" sz="1000"/>
          </a:p>
        </c:rich>
      </c:tx>
      <c:layout/>
      <c:overlay val="0"/>
    </c:title>
    <c:autoTitleDeleted val="0"/>
    <c:plotArea>
      <c:layout>
        <c:manualLayout>
          <c:layoutTarget val="inner"/>
          <c:xMode val="edge"/>
          <c:yMode val="edge"/>
          <c:x val="7.6672090625263964E-2"/>
          <c:y val="0.23275196850393701"/>
          <c:w val="0.89777239383538598"/>
          <c:h val="0.55567804024496936"/>
        </c:manualLayout>
      </c:layout>
      <c:barChart>
        <c:barDir val="col"/>
        <c:grouping val="stacked"/>
        <c:varyColors val="0"/>
        <c:ser>
          <c:idx val="4"/>
          <c:order val="0"/>
          <c:tx>
            <c:strRef>
              <c:f>Layout!$F$6</c:f>
              <c:strCache>
                <c:ptCount val="1"/>
                <c:pt idx="0">
                  <c:v>≤ 2.5 Sec.</c:v>
                </c:pt>
              </c:strCache>
            </c:strRef>
          </c:tx>
          <c:spPr>
            <a:solidFill>
              <a:schemeClr val="accent1"/>
            </a:solidFill>
            <a:ln>
              <a:solidFill>
                <a:schemeClr val="accent1"/>
              </a:solidFill>
            </a:ln>
          </c:spPr>
          <c:invertIfNegative val="0"/>
          <c:dLbls>
            <c:spPr>
              <a:noFill/>
              <a:ln>
                <a:noFill/>
              </a:ln>
              <a:effectLst/>
            </c:spPr>
            <c:txPr>
              <a:bodyPr wrap="square" lIns="38100" tIns="19050" rIns="38100" bIns="19050" anchor="ctr">
                <a:spAutoFit/>
              </a:bodyPr>
              <a:lstStyle/>
              <a:p>
                <a:pPr>
                  <a:defRPr sz="5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(Layout!$A$7,Layout!$A$71:$A$84)</c:f>
              <c:strCache>
                <c:ptCount val="15"/>
                <c:pt idx="0">
                  <c:v>10/20 - 10/27
(Pre Upgrades)</c:v>
                </c:pt>
                <c:pt idx="1">
                  <c:v>1/15</c:v>
                </c:pt>
                <c:pt idx="2">
                  <c:v>1/16</c:v>
                </c:pt>
                <c:pt idx="3">
                  <c:v>1/17</c:v>
                </c:pt>
                <c:pt idx="4">
                  <c:v>1/18</c:v>
                </c:pt>
                <c:pt idx="5">
                  <c:v>1/19</c:v>
                </c:pt>
                <c:pt idx="6">
                  <c:v>1/20</c:v>
                </c:pt>
                <c:pt idx="7">
                  <c:v>1/21</c:v>
                </c:pt>
                <c:pt idx="8">
                  <c:v>1/22</c:v>
                </c:pt>
                <c:pt idx="9">
                  <c:v>1/23</c:v>
                </c:pt>
                <c:pt idx="10">
                  <c:v>1/24</c:v>
                </c:pt>
                <c:pt idx="11">
                  <c:v>1/25</c:v>
                </c:pt>
                <c:pt idx="12">
                  <c:v>1/26</c:v>
                </c:pt>
                <c:pt idx="13">
                  <c:v>1/27</c:v>
                </c:pt>
                <c:pt idx="14">
                  <c:v>1/28</c:v>
                </c:pt>
              </c:strCache>
              <c:extLst>
                <c:ext xmlns:c15="http://schemas.microsoft.com/office/drawing/2012/chart" uri="{02D57815-91ED-43cb-92C2-25804820EDAC}">
                  <c15:fullRef>
                    <c15:sqref>Layout!$A$7:$A$87</c15:sqref>
                  </c15:fullRef>
                </c:ext>
              </c:extLst>
            </c:strRef>
          </c:cat>
          <c:val>
            <c:numRef>
              <c:f>(Layout!$F$7,Layout!$F$71:$F$84)</c:f>
              <c:numCache>
                <c:formatCode>0.00%</c:formatCode>
                <c:ptCount val="15"/>
                <c:pt idx="0" formatCode="0.0%">
                  <c:v>0.94499999999999995</c:v>
                </c:pt>
                <c:pt idx="1">
                  <c:v>0.99988615083836163</c:v>
                </c:pt>
                <c:pt idx="2">
                  <c:v>0.99991591877753905</c:v>
                </c:pt>
                <c:pt idx="3">
                  <c:v>0.99988207283425734</c:v>
                </c:pt>
                <c:pt idx="4">
                  <c:v>0.99994686523885978</c:v>
                </c:pt>
                <c:pt idx="5">
                  <c:v>0.99994092860237072</c:v>
                </c:pt>
                <c:pt idx="6">
                  <c:v>0.99995778987801276</c:v>
                </c:pt>
                <c:pt idx="7">
                  <c:v>0.99989928086537883</c:v>
                </c:pt>
                <c:pt idx="8">
                  <c:v>0.99988783421897565</c:v>
                </c:pt>
                <c:pt idx="9">
                  <c:v>0.9999014806635278</c:v>
                </c:pt>
                <c:pt idx="10">
                  <c:v>0.99993395052894618</c:v>
                </c:pt>
                <c:pt idx="11">
                  <c:v>0.99996865842383209</c:v>
                </c:pt>
                <c:pt idx="12">
                  <c:v>0.99996766666487036</c:v>
                </c:pt>
                <c:pt idx="13">
                  <c:v>0.99996548099100946</c:v>
                </c:pt>
                <c:pt idx="14">
                  <c:v>0.99995428836120737</c:v>
                </c:pt>
              </c:numCache>
              <c:extLst>
                <c:ext xmlns:c15="http://schemas.microsoft.com/office/drawing/2012/chart" uri="{02D57815-91ED-43cb-92C2-25804820EDAC}">
                  <c15:fullRef>
                    <c15:sqref>Layout!$F$7:$F$87</c15:sqref>
                  </c15:fullRef>
                </c:ext>
              </c:extLst>
            </c:numRef>
          </c:val>
        </c:ser>
        <c:ser>
          <c:idx val="5"/>
          <c:order val="1"/>
          <c:tx>
            <c:strRef>
              <c:f>Layout!$G$6</c:f>
              <c:strCache>
                <c:ptCount val="1"/>
                <c:pt idx="0">
                  <c:v>&gt; 2.5 Sec.</c:v>
                </c:pt>
              </c:strCache>
            </c:strRef>
          </c:tx>
          <c:spPr>
            <a:solidFill>
              <a:schemeClr val="accent2"/>
            </a:solidFill>
            <a:ln>
              <a:solidFill>
                <a:schemeClr val="accent2"/>
              </a:solidFill>
            </a:ln>
          </c:spPr>
          <c:invertIfNegative val="0"/>
          <c:dLbls>
            <c:dLbl>
              <c:idx val="0"/>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500"/>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(Layout!$A$7,Layout!$A$71:$A$84)</c:f>
              <c:strCache>
                <c:ptCount val="15"/>
                <c:pt idx="0">
                  <c:v>10/20 - 10/27
(Pre Upgrades)</c:v>
                </c:pt>
                <c:pt idx="1">
                  <c:v>1/15</c:v>
                </c:pt>
                <c:pt idx="2">
                  <c:v>1/16</c:v>
                </c:pt>
                <c:pt idx="3">
                  <c:v>1/17</c:v>
                </c:pt>
                <c:pt idx="4">
                  <c:v>1/18</c:v>
                </c:pt>
                <c:pt idx="5">
                  <c:v>1/19</c:v>
                </c:pt>
                <c:pt idx="6">
                  <c:v>1/20</c:v>
                </c:pt>
                <c:pt idx="7">
                  <c:v>1/21</c:v>
                </c:pt>
                <c:pt idx="8">
                  <c:v>1/22</c:v>
                </c:pt>
                <c:pt idx="9">
                  <c:v>1/23</c:v>
                </c:pt>
                <c:pt idx="10">
                  <c:v>1/24</c:v>
                </c:pt>
                <c:pt idx="11">
                  <c:v>1/25</c:v>
                </c:pt>
                <c:pt idx="12">
                  <c:v>1/26</c:v>
                </c:pt>
                <c:pt idx="13">
                  <c:v>1/27</c:v>
                </c:pt>
                <c:pt idx="14">
                  <c:v>1/28</c:v>
                </c:pt>
              </c:strCache>
              <c:extLst>
                <c:ext xmlns:c15="http://schemas.microsoft.com/office/drawing/2012/chart" uri="{02D57815-91ED-43cb-92C2-25804820EDAC}">
                  <c15:fullRef>
                    <c15:sqref>Layout!$A$7:$A$87</c15:sqref>
                  </c15:fullRef>
                </c:ext>
              </c:extLst>
            </c:strRef>
          </c:cat>
          <c:val>
            <c:numRef>
              <c:f>(Layout!$G$7,Layout!$G$71:$G$84)</c:f>
              <c:numCache>
                <c:formatCode>0.00%</c:formatCode>
                <c:ptCount val="15"/>
                <c:pt idx="0" formatCode="0.0%">
                  <c:v>5.5E-2</c:v>
                </c:pt>
                <c:pt idx="1">
                  <c:v>1.138491616383287E-4</c:v>
                </c:pt>
                <c:pt idx="2">
                  <c:v>8.4081222460897221E-5</c:v>
                </c:pt>
                <c:pt idx="3">
                  <c:v>1.17927165742565E-4</c:v>
                </c:pt>
                <c:pt idx="4">
                  <c:v>5.3134761140271975E-5</c:v>
                </c:pt>
                <c:pt idx="5">
                  <c:v>5.9071397629267909E-5</c:v>
                </c:pt>
                <c:pt idx="6">
                  <c:v>4.2210121987252545E-5</c:v>
                </c:pt>
                <c:pt idx="7">
                  <c:v>1.0071913462119533E-4</c:v>
                </c:pt>
                <c:pt idx="8">
                  <c:v>1.1216578102435399E-4</c:v>
                </c:pt>
                <c:pt idx="9">
                  <c:v>9.8519336472268853E-5</c:v>
                </c:pt>
                <c:pt idx="10">
                  <c:v>6.6049471053819314E-5</c:v>
                </c:pt>
                <c:pt idx="11">
                  <c:v>3.1341576167865483E-5</c:v>
                </c:pt>
                <c:pt idx="12">
                  <c:v>3.2333335129629733E-5</c:v>
                </c:pt>
                <c:pt idx="13">
                  <c:v>3.4519008990632795E-5</c:v>
                </c:pt>
                <c:pt idx="14">
                  <c:v>4.5711638792725147E-5</c:v>
                </c:pt>
              </c:numCache>
              <c:extLst>
                <c:ext xmlns:c15="http://schemas.microsoft.com/office/drawing/2012/chart" uri="{02D57815-91ED-43cb-92C2-25804820EDAC}">
                  <c15:fullRef>
                    <c15:sqref>Layout!$G$7:$G$87</c15:sqref>
                  </c15:fullRef>
                </c:ext>
              </c:extLst>
            </c:numRef>
          </c:val>
        </c:ser>
        <c:dLbls>
          <c:showLegendKey val="0"/>
          <c:showVal val="0"/>
          <c:showCatName val="0"/>
          <c:showSerName val="0"/>
          <c:showPercent val="0"/>
          <c:showBubbleSize val="0"/>
        </c:dLbls>
        <c:gapWidth val="75"/>
        <c:overlap val="100"/>
        <c:axId val="116270976"/>
        <c:axId val="116272512"/>
        <c:extLst>
          <c:ext xmlns:c15="http://schemas.microsoft.com/office/drawing/2012/chart" uri="{02D57815-91ED-43cb-92C2-25804820EDAC}">
            <c15:filteredBarSeries>
              <c15:ser>
                <c:idx val="0"/>
                <c:order val="0"/>
                <c:tx>
                  <c:strRef>
                    <c:extLst>
                      <c:ext uri="{02D57815-91ED-43cb-92C2-25804820EDAC}">
                        <c15:formulaRef>
                          <c15:sqref>Layout!$B$6</c15:sqref>
                        </c15:formulaRef>
                      </c:ext>
                    </c:extLst>
                    <c:strCache>
                      <c:ptCount val="1"/>
                      <c:pt idx="0">
                        <c:v>Total Taps</c:v>
                      </c:pt>
                    </c:strCache>
                  </c:strRef>
                </c:tx>
                <c:invertIfNegative val="0"/>
                <c:cat>
                  <c:strRef>
                    <c:extLst>
                      <c:ext uri="{02D57815-91ED-43cb-92C2-25804820EDAC}">
                        <c15:fullRef>
                          <c15:sqref>Layout!$A$7:$A$87</c15:sqref>
                        </c15:fullRef>
                        <c15:formulaRef>
                          <c15:sqref>(Layout!$A$7,Layout!$A$71:$A$84)</c15:sqref>
                        </c15:formulaRef>
                      </c:ext>
                    </c:extLst>
                    <c:strCache>
                      <c:ptCount val="15"/>
                      <c:pt idx="0">
                        <c:v>10/20 - 10/27
(Pre Upgrades)</c:v>
                      </c:pt>
                      <c:pt idx="1">
                        <c:v>1/15</c:v>
                      </c:pt>
                      <c:pt idx="2">
                        <c:v>1/16</c:v>
                      </c:pt>
                      <c:pt idx="3">
                        <c:v>1/17</c:v>
                      </c:pt>
                      <c:pt idx="4">
                        <c:v>1/18</c:v>
                      </c:pt>
                      <c:pt idx="5">
                        <c:v>1/19</c:v>
                      </c:pt>
                      <c:pt idx="6">
                        <c:v>1/20</c:v>
                      </c:pt>
                      <c:pt idx="7">
                        <c:v>1/21</c:v>
                      </c:pt>
                      <c:pt idx="8">
                        <c:v>1/22</c:v>
                      </c:pt>
                      <c:pt idx="9">
                        <c:v>1/23</c:v>
                      </c:pt>
                      <c:pt idx="10">
                        <c:v>1/24</c:v>
                      </c:pt>
                      <c:pt idx="11">
                        <c:v>1/25</c:v>
                      </c:pt>
                      <c:pt idx="12">
                        <c:v>1/26</c:v>
                      </c:pt>
                      <c:pt idx="13">
                        <c:v>1/27</c:v>
                      </c:pt>
                      <c:pt idx="14">
                        <c:v>1/28</c:v>
                      </c:pt>
                    </c:strCache>
                  </c:strRef>
                </c:cat>
                <c:val>
                  <c:numRef>
                    <c:extLst>
                      <c:ext uri="{02D57815-91ED-43cb-92C2-25804820EDAC}">
                        <c15:fullRef>
                          <c15:sqref>Layout!$B$7:$B$87</c15:sqref>
                        </c15:fullRef>
                        <c15:formulaRef>
                          <c15:sqref>(Layout!$B$7,Layout!$B$71:$B$84)</c15:sqref>
                        </c15:formulaRef>
                      </c:ext>
                    </c:extLst>
                    <c:numCache>
                      <c:formatCode>#,##0</c:formatCode>
                      <c:ptCount val="15"/>
                      <c:pt idx="1">
                        <c:v>509446</c:v>
                      </c:pt>
                      <c:pt idx="2">
                        <c:v>499517</c:v>
                      </c:pt>
                      <c:pt idx="3">
                        <c:v>491829</c:v>
                      </c:pt>
                      <c:pt idx="4">
                        <c:v>263481</c:v>
                      </c:pt>
                      <c:pt idx="5">
                        <c:v>203144</c:v>
                      </c:pt>
                      <c:pt idx="6">
                        <c:v>331674</c:v>
                      </c:pt>
                      <c:pt idx="7">
                        <c:v>496430</c:v>
                      </c:pt>
                      <c:pt idx="8">
                        <c:v>499261</c:v>
                      </c:pt>
                      <c:pt idx="9">
                        <c:v>487214</c:v>
                      </c:pt>
                      <c:pt idx="10">
                        <c:v>454205</c:v>
                      </c:pt>
                      <c:pt idx="11">
                        <c:v>255252</c:v>
                      </c:pt>
                      <c:pt idx="12">
                        <c:v>185567</c:v>
                      </c:pt>
                      <c:pt idx="13">
                        <c:v>318665</c:v>
                      </c:pt>
                      <c:pt idx="14">
                        <c:v>328144</c:v>
                      </c:pt>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Layout!$C$6</c15:sqref>
                        </c15:formulaRef>
                      </c:ext>
                    </c:extLst>
                    <c:strCache>
                      <c:ptCount val="1"/>
                      <c:pt idx="0">
                        <c:v>≤ 0.5 Sec.</c:v>
                      </c:pt>
                    </c:strCache>
                  </c:strRef>
                </c:tx>
                <c:spPr>
                  <a:solidFill>
                    <a:schemeClr val="accent1"/>
                  </a:solidFill>
                  <a:ln>
                    <a:solidFill>
                      <a:schemeClr val="accent1"/>
                    </a:solidFill>
                  </a:ln>
                </c:spPr>
                <c:invertIfNegative val="0"/>
                <c:dLbls>
                  <c:spPr>
                    <a:noFill/>
                    <a:ln>
                      <a:noFill/>
                    </a:ln>
                    <a:effectLst/>
                  </c:spPr>
                  <c:txPr>
                    <a:bodyPr wrap="square" lIns="38100" tIns="19050" rIns="38100" bIns="19050" anchor="ctr">
                      <a:spAutoFit/>
                    </a:bodyPr>
                    <a:lstStyle/>
                    <a:p>
                      <a:pPr>
                        <a:defRPr sz="700"/>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ext>
                  </c:extLst>
                </c:dLbls>
                <c:cat>
                  <c:strRef>
                    <c:extLst>
                      <c:ext xmlns:c15="http://schemas.microsoft.com/office/drawing/2012/chart" uri="{02D57815-91ED-43cb-92C2-25804820EDAC}">
                        <c15:fullRef>
                          <c15:sqref>Layout!$A$7:$A$87</c15:sqref>
                        </c15:fullRef>
                        <c15:formulaRef>
                          <c15:sqref>(Layout!$A$7,Layout!$A$71:$A$84)</c15:sqref>
                        </c15:formulaRef>
                      </c:ext>
                    </c:extLst>
                    <c:strCache>
                      <c:ptCount val="15"/>
                      <c:pt idx="0">
                        <c:v>10/20 - 10/27
(Pre Upgrades)</c:v>
                      </c:pt>
                      <c:pt idx="1">
                        <c:v>1/15</c:v>
                      </c:pt>
                      <c:pt idx="2">
                        <c:v>1/16</c:v>
                      </c:pt>
                      <c:pt idx="3">
                        <c:v>1/17</c:v>
                      </c:pt>
                      <c:pt idx="4">
                        <c:v>1/18</c:v>
                      </c:pt>
                      <c:pt idx="5">
                        <c:v>1/19</c:v>
                      </c:pt>
                      <c:pt idx="6">
                        <c:v>1/20</c:v>
                      </c:pt>
                      <c:pt idx="7">
                        <c:v>1/21</c:v>
                      </c:pt>
                      <c:pt idx="8">
                        <c:v>1/22</c:v>
                      </c:pt>
                      <c:pt idx="9">
                        <c:v>1/23</c:v>
                      </c:pt>
                      <c:pt idx="10">
                        <c:v>1/24</c:v>
                      </c:pt>
                      <c:pt idx="11">
                        <c:v>1/25</c:v>
                      </c:pt>
                      <c:pt idx="12">
                        <c:v>1/26</c:v>
                      </c:pt>
                      <c:pt idx="13">
                        <c:v>1/27</c:v>
                      </c:pt>
                      <c:pt idx="14">
                        <c:v>1/28</c:v>
                      </c:pt>
                    </c:strCache>
                  </c:strRef>
                </c:cat>
                <c:val>
                  <c:numRef>
                    <c:extLst>
                      <c:ext xmlns:c15="http://schemas.microsoft.com/office/drawing/2012/chart" uri="{02D57815-91ED-43cb-92C2-25804820EDAC}">
                        <c15:fullRef>
                          <c15:sqref>Layout!$C$7:$C$87</c15:sqref>
                        </c15:fullRef>
                        <c15:formulaRef>
                          <c15:sqref>(Layout!$C$7,Layout!$C$71:$C$84)</c15:sqref>
                        </c15:formulaRef>
                      </c:ext>
                    </c:extLst>
                    <c:numCache>
                      <c:formatCode>0.0%</c:formatCode>
                      <c:ptCount val="15"/>
                      <c:pt idx="1">
                        <c:v>0.66789414383467527</c:v>
                      </c:pt>
                      <c:pt idx="2">
                        <c:v>0.68972026978060808</c:v>
                      </c:pt>
                      <c:pt idx="3">
                        <c:v>0.65334496339174797</c:v>
                      </c:pt>
                      <c:pt idx="4">
                        <c:v>0.63884682386965286</c:v>
                      </c:pt>
                      <c:pt idx="5">
                        <c:v>0.63726223762454215</c:v>
                      </c:pt>
                      <c:pt idx="6">
                        <c:v>0.65521867858198113</c:v>
                      </c:pt>
                      <c:pt idx="7">
                        <c:v>0.66957274943093692</c:v>
                      </c:pt>
                      <c:pt idx="8">
                        <c:v>0.68874596653854392</c:v>
                      </c:pt>
                      <c:pt idx="9">
                        <c:v>0.6783733636553958</c:v>
                      </c:pt>
                      <c:pt idx="10">
                        <c:v>0.67901718387071919</c:v>
                      </c:pt>
                      <c:pt idx="11">
                        <c:v>0.65902323977872845</c:v>
                      </c:pt>
                      <c:pt idx="12">
                        <c:v>0.67003831500212863</c:v>
                      </c:pt>
                      <c:pt idx="13">
                        <c:v>0.70917734925391873</c:v>
                      </c:pt>
                      <c:pt idx="14">
                        <c:v>0.71629833243941687</c:v>
                      </c:pt>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Layout!$D$6</c15:sqref>
                        </c15:formulaRef>
                      </c:ext>
                    </c:extLst>
                    <c:strCache>
                      <c:ptCount val="1"/>
                      <c:pt idx="0">
                        <c:v>0.6 Sec. - 1.0 Sec.</c:v>
                      </c:pt>
                    </c:strCache>
                  </c:strRef>
                </c:tx>
                <c:spPr>
                  <a:solidFill>
                    <a:schemeClr val="accent2"/>
                  </a:solidFill>
                  <a:ln>
                    <a:solidFill>
                      <a:schemeClr val="accent2"/>
                    </a:solidFill>
                  </a:ln>
                </c:spPr>
                <c:invertIfNegative val="0"/>
                <c:dLbls>
                  <c:spPr>
                    <a:noFill/>
                    <a:ln>
                      <a:noFill/>
                    </a:ln>
                    <a:effectLst/>
                  </c:spPr>
                  <c:txPr>
                    <a:bodyPr wrap="square" lIns="38100" tIns="19050" rIns="38100" bIns="19050" anchor="ctr">
                      <a:spAutoFit/>
                    </a:bodyPr>
                    <a:lstStyle/>
                    <a:p>
                      <a:pPr>
                        <a:defRPr sz="700"/>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ext>
                  </c:extLst>
                </c:dLbls>
                <c:cat>
                  <c:strRef>
                    <c:extLst>
                      <c:ext xmlns:c15="http://schemas.microsoft.com/office/drawing/2012/chart" uri="{02D57815-91ED-43cb-92C2-25804820EDAC}">
                        <c15:fullRef>
                          <c15:sqref>Layout!$A$7:$A$87</c15:sqref>
                        </c15:fullRef>
                        <c15:formulaRef>
                          <c15:sqref>(Layout!$A$7,Layout!$A$71:$A$84)</c15:sqref>
                        </c15:formulaRef>
                      </c:ext>
                    </c:extLst>
                    <c:strCache>
                      <c:ptCount val="15"/>
                      <c:pt idx="0">
                        <c:v>10/20 - 10/27
(Pre Upgrades)</c:v>
                      </c:pt>
                      <c:pt idx="1">
                        <c:v>1/15</c:v>
                      </c:pt>
                      <c:pt idx="2">
                        <c:v>1/16</c:v>
                      </c:pt>
                      <c:pt idx="3">
                        <c:v>1/17</c:v>
                      </c:pt>
                      <c:pt idx="4">
                        <c:v>1/18</c:v>
                      </c:pt>
                      <c:pt idx="5">
                        <c:v>1/19</c:v>
                      </c:pt>
                      <c:pt idx="6">
                        <c:v>1/20</c:v>
                      </c:pt>
                      <c:pt idx="7">
                        <c:v>1/21</c:v>
                      </c:pt>
                      <c:pt idx="8">
                        <c:v>1/22</c:v>
                      </c:pt>
                      <c:pt idx="9">
                        <c:v>1/23</c:v>
                      </c:pt>
                      <c:pt idx="10">
                        <c:v>1/24</c:v>
                      </c:pt>
                      <c:pt idx="11">
                        <c:v>1/25</c:v>
                      </c:pt>
                      <c:pt idx="12">
                        <c:v>1/26</c:v>
                      </c:pt>
                      <c:pt idx="13">
                        <c:v>1/27</c:v>
                      </c:pt>
                      <c:pt idx="14">
                        <c:v>1/28</c:v>
                      </c:pt>
                    </c:strCache>
                  </c:strRef>
                </c:cat>
                <c:val>
                  <c:numRef>
                    <c:extLst>
                      <c:ext xmlns:c15="http://schemas.microsoft.com/office/drawing/2012/chart" uri="{02D57815-91ED-43cb-92C2-25804820EDAC}">
                        <c15:fullRef>
                          <c15:sqref>Layout!$D$7:$D$87</c15:sqref>
                        </c15:fullRef>
                        <c15:formulaRef>
                          <c15:sqref>(Layout!$D$7,Layout!$D$71:$D$84)</c15:sqref>
                        </c15:formulaRef>
                      </c:ext>
                    </c:extLst>
                    <c:numCache>
                      <c:formatCode>0.0%</c:formatCode>
                      <c:ptCount val="15"/>
                      <c:pt idx="1">
                        <c:v>0.26907464186586999</c:v>
                      </c:pt>
                      <c:pt idx="2">
                        <c:v>0.25570501104066529</c:v>
                      </c:pt>
                      <c:pt idx="3">
                        <c:v>0.25444819235953958</c:v>
                      </c:pt>
                      <c:pt idx="4">
                        <c:v>0.34744440775615698</c:v>
                      </c:pt>
                      <c:pt idx="5">
                        <c:v>0.35080534005434566</c:v>
                      </c:pt>
                      <c:pt idx="6">
                        <c:v>0.32439081748946252</c:v>
                      </c:pt>
                      <c:pt idx="7">
                        <c:v>0.22459158390911105</c:v>
                      </c:pt>
                      <c:pt idx="8">
                        <c:v>0.20765491396283708</c:v>
                      </c:pt>
                      <c:pt idx="9">
                        <c:v>0.22989281917186288</c:v>
                      </c:pt>
                      <c:pt idx="10">
                        <c:v>0.28200702326042204</c:v>
                      </c:pt>
                      <c:pt idx="11">
                        <c:v>0.33025402347484056</c:v>
                      </c:pt>
                      <c:pt idx="12">
                        <c:v>0.3201000177833343</c:v>
                      </c:pt>
                      <c:pt idx="13">
                        <c:v>0.2740464123766338</c:v>
                      </c:pt>
                      <c:pt idx="14">
                        <c:v>0.26906480081915257</c:v>
                      </c:pt>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Layout!$E$6</c15:sqref>
                        </c15:formulaRef>
                      </c:ext>
                    </c:extLst>
                    <c:strCache>
                      <c:ptCount val="1"/>
                      <c:pt idx="0">
                        <c:v>1.1 Sec. - 2.5 Sec</c:v>
                      </c:pt>
                    </c:strCache>
                  </c:strRef>
                </c:tx>
                <c:spPr>
                  <a:solidFill>
                    <a:schemeClr val="accent3"/>
                  </a:solidFill>
                  <a:ln>
                    <a:solidFill>
                      <a:schemeClr val="accent3"/>
                    </a:solidFill>
                  </a:ln>
                </c:spPr>
                <c:invertIfNegative val="0"/>
                <c:dLbls>
                  <c:spPr>
                    <a:noFill/>
                    <a:ln>
                      <a:noFill/>
                    </a:ln>
                    <a:effectLst/>
                  </c:spPr>
                  <c:txPr>
                    <a:bodyPr wrap="square" lIns="38100" tIns="19050" rIns="38100" bIns="19050" anchor="ctr">
                      <a:spAutoFit/>
                    </a:bodyPr>
                    <a:lstStyle/>
                    <a:p>
                      <a:pPr>
                        <a:defRPr sz="500"/>
                      </a:pPr>
                      <a:endParaRPr lang="en-US"/>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ext>
                  </c:extLst>
                </c:dLbls>
                <c:cat>
                  <c:strRef>
                    <c:extLst>
                      <c:ext xmlns:c15="http://schemas.microsoft.com/office/drawing/2012/chart" uri="{02D57815-91ED-43cb-92C2-25804820EDAC}">
                        <c15:fullRef>
                          <c15:sqref>Layout!$A$7:$A$87</c15:sqref>
                        </c15:fullRef>
                        <c15:formulaRef>
                          <c15:sqref>(Layout!$A$7,Layout!$A$71:$A$84)</c15:sqref>
                        </c15:formulaRef>
                      </c:ext>
                    </c:extLst>
                    <c:strCache>
                      <c:ptCount val="15"/>
                      <c:pt idx="0">
                        <c:v>10/20 - 10/27
(Pre Upgrades)</c:v>
                      </c:pt>
                      <c:pt idx="1">
                        <c:v>1/15</c:v>
                      </c:pt>
                      <c:pt idx="2">
                        <c:v>1/16</c:v>
                      </c:pt>
                      <c:pt idx="3">
                        <c:v>1/17</c:v>
                      </c:pt>
                      <c:pt idx="4">
                        <c:v>1/18</c:v>
                      </c:pt>
                      <c:pt idx="5">
                        <c:v>1/19</c:v>
                      </c:pt>
                      <c:pt idx="6">
                        <c:v>1/20</c:v>
                      </c:pt>
                      <c:pt idx="7">
                        <c:v>1/21</c:v>
                      </c:pt>
                      <c:pt idx="8">
                        <c:v>1/22</c:v>
                      </c:pt>
                      <c:pt idx="9">
                        <c:v>1/23</c:v>
                      </c:pt>
                      <c:pt idx="10">
                        <c:v>1/24</c:v>
                      </c:pt>
                      <c:pt idx="11">
                        <c:v>1/25</c:v>
                      </c:pt>
                      <c:pt idx="12">
                        <c:v>1/26</c:v>
                      </c:pt>
                      <c:pt idx="13">
                        <c:v>1/27</c:v>
                      </c:pt>
                      <c:pt idx="14">
                        <c:v>1/28</c:v>
                      </c:pt>
                    </c:strCache>
                  </c:strRef>
                </c:cat>
                <c:val>
                  <c:numRef>
                    <c:extLst>
                      <c:ext xmlns:c15="http://schemas.microsoft.com/office/drawing/2012/chart" uri="{02D57815-91ED-43cb-92C2-25804820EDAC}">
                        <c15:fullRef>
                          <c15:sqref>Layout!$E$7:$E$87</c15:sqref>
                        </c15:fullRef>
                        <c15:formulaRef>
                          <c15:sqref>(Layout!$E$7,Layout!$E$71:$E$84)</c15:sqref>
                        </c15:formulaRef>
                      </c:ext>
                    </c:extLst>
                    <c:numCache>
                      <c:formatCode>0.0%</c:formatCode>
                      <c:ptCount val="15"/>
                      <c:pt idx="1">
                        <c:v>6.2917365137816372E-2</c:v>
                      </c:pt>
                      <c:pt idx="2">
                        <c:v>5.4490637956265756E-2</c:v>
                      </c:pt>
                      <c:pt idx="3">
                        <c:v>9.2088917082969887E-2</c:v>
                      </c:pt>
                      <c:pt idx="4">
                        <c:v>1.3655633613049898E-2</c:v>
                      </c:pt>
                      <c:pt idx="5">
                        <c:v>1.1873350923482849E-2</c:v>
                      </c:pt>
                      <c:pt idx="6">
                        <c:v>2.03482938065691E-2</c:v>
                      </c:pt>
                      <c:pt idx="7">
                        <c:v>0.10573494752533086</c:v>
                      </c:pt>
                      <c:pt idx="8">
                        <c:v>0.1034869537175946</c:v>
                      </c:pt>
                      <c:pt idx="9">
                        <c:v>9.1635297836269072E-2</c:v>
                      </c:pt>
                      <c:pt idx="10">
                        <c:v>3.8909743397804959E-2</c:v>
                      </c:pt>
                      <c:pt idx="11">
                        <c:v>1.0691395170263112E-2</c:v>
                      </c:pt>
                      <c:pt idx="12">
                        <c:v>9.8293338794074384E-3</c:v>
                      </c:pt>
                      <c:pt idx="13">
                        <c:v>1.6741719360456906E-2</c:v>
                      </c:pt>
                      <c:pt idx="14">
                        <c:v>1.4591155102637867E-2</c:v>
                      </c:pt>
                    </c:numCache>
                  </c:numRef>
                </c:val>
              </c15:ser>
            </c15:filteredBarSeries>
          </c:ext>
        </c:extLst>
      </c:barChart>
      <c:catAx>
        <c:axId val="116270976"/>
        <c:scaling>
          <c:orientation val="minMax"/>
        </c:scaling>
        <c:delete val="0"/>
        <c:axPos val="b"/>
        <c:numFmt formatCode="m/d;@" sourceLinked="0"/>
        <c:majorTickMark val="out"/>
        <c:minorTickMark val="none"/>
        <c:tickLblPos val="nextTo"/>
        <c:txPr>
          <a:bodyPr/>
          <a:lstStyle/>
          <a:p>
            <a:pPr>
              <a:defRPr sz="700"/>
            </a:pPr>
            <a:endParaRPr lang="en-US"/>
          </a:p>
        </c:txPr>
        <c:crossAx val="116272512"/>
        <c:crosses val="autoZero"/>
        <c:auto val="1"/>
        <c:lblAlgn val="ctr"/>
        <c:lblOffset val="100"/>
        <c:tickLblSkip val="2"/>
        <c:noMultiLvlLbl val="1"/>
      </c:catAx>
      <c:valAx>
        <c:axId val="116272512"/>
        <c:scaling>
          <c:orientation val="minMax"/>
          <c:max val="1"/>
          <c:min val="0.9"/>
        </c:scaling>
        <c:delete val="0"/>
        <c:axPos val="l"/>
        <c:majorGridlines>
          <c:spPr>
            <a:ln>
              <a:solidFill>
                <a:schemeClr val="bg1">
                  <a:lumMod val="85000"/>
                </a:schemeClr>
              </a:solidFill>
            </a:ln>
          </c:spPr>
        </c:majorGridlines>
        <c:numFmt formatCode="0%" sourceLinked="0"/>
        <c:majorTickMark val="none"/>
        <c:minorTickMark val="none"/>
        <c:tickLblPos val="nextTo"/>
        <c:txPr>
          <a:bodyPr/>
          <a:lstStyle/>
          <a:p>
            <a:pPr>
              <a:defRPr sz="700"/>
            </a:pPr>
            <a:endParaRPr lang="en-US"/>
          </a:p>
        </c:txPr>
        <c:crossAx val="116270976"/>
        <c:crosses val="autoZero"/>
        <c:crossBetween val="between"/>
        <c:majorUnit val="1.0000000000000002E-2"/>
      </c:valAx>
      <c:spPr>
        <a:ln>
          <a:solidFill>
            <a:schemeClr val="bg1">
              <a:lumMod val="50000"/>
            </a:schemeClr>
          </a:solidFill>
        </a:ln>
      </c:spPr>
    </c:plotArea>
    <c:legend>
      <c:legendPos val="b"/>
      <c:layout/>
      <c:overlay val="0"/>
      <c:txPr>
        <a:bodyPr/>
        <a:lstStyle/>
        <a:p>
          <a:pPr>
            <a:defRPr sz="800"/>
          </a:pPr>
          <a:endParaRPr lang="en-US"/>
        </a:p>
      </c:txPr>
    </c:legend>
    <c:plotVisOnly val="1"/>
    <c:dispBlanksAs val="gap"/>
    <c:showDLblsOverMax val="0"/>
  </c:chart>
  <c:spPr>
    <a:ln w="9525">
      <a:solidFill>
        <a:schemeClr val="tx1"/>
      </a:solid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000" b="1" i="0" baseline="0">
                <a:solidFill>
                  <a:sysClr val="windowText" lastClr="000000"/>
                </a:solidFill>
                <a:effectLst/>
              </a:rPr>
              <a:t>Aggregated Rail Tap Times by Hour</a:t>
            </a:r>
            <a:endParaRPr lang="en-US" sz="1000">
              <a:solidFill>
                <a:sysClr val="windowText" lastClr="000000"/>
              </a:solidFill>
              <a:effectLst/>
            </a:endParaRPr>
          </a:p>
        </c:rich>
      </c:tx>
      <c:layout/>
      <c:overlay val="0"/>
      <c:spPr>
        <a:noFill/>
        <a:ln>
          <a:noFill/>
        </a:ln>
        <a:effectLst/>
      </c:spPr>
    </c:title>
    <c:autoTitleDeleted val="0"/>
    <c:plotArea>
      <c:layout>
        <c:manualLayout>
          <c:layoutTarget val="inner"/>
          <c:xMode val="edge"/>
          <c:yMode val="edge"/>
          <c:x val="7.0098256948650656E-2"/>
          <c:y val="0.17891688538932635"/>
          <c:w val="0.90358520088835048"/>
          <c:h val="0.54033050409526107"/>
        </c:manualLayout>
      </c:layout>
      <c:barChart>
        <c:barDir val="col"/>
        <c:grouping val="percentStacked"/>
        <c:varyColors val="0"/>
        <c:ser>
          <c:idx val="0"/>
          <c:order val="0"/>
          <c:tx>
            <c:strRef>
              <c:f>HourlyPivot!$B$145</c:f>
              <c:strCache>
                <c:ptCount val="1"/>
                <c:pt idx="0">
                  <c:v>Sum of ≤ 2.5 Sec</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HourlyPivot!$A$146:$A$169</c:f>
              <c:numCache>
                <c:formatCode>h:mm;@</c:formatCode>
                <c:ptCount val="24"/>
                <c:pt idx="0">
                  <c:v>0</c:v>
                </c:pt>
                <c:pt idx="1">
                  <c:v>4.1666666666666664E-2</c:v>
                </c:pt>
                <c:pt idx="2">
                  <c:v>8.3333333333333329E-2</c:v>
                </c:pt>
                <c:pt idx="3">
                  <c:v>0.125</c:v>
                </c:pt>
                <c:pt idx="4">
                  <c:v>0.16666666666666666</c:v>
                </c:pt>
                <c:pt idx="5">
                  <c:v>0.20833333333333334</c:v>
                </c:pt>
                <c:pt idx="6">
                  <c:v>0.25</c:v>
                </c:pt>
                <c:pt idx="7">
                  <c:v>0.29166666666666669</c:v>
                </c:pt>
                <c:pt idx="8">
                  <c:v>0.33333333333333331</c:v>
                </c:pt>
                <c:pt idx="9">
                  <c:v>0.375</c:v>
                </c:pt>
                <c:pt idx="10">
                  <c:v>0.41666666666666669</c:v>
                </c:pt>
                <c:pt idx="11">
                  <c:v>0.45833333333333331</c:v>
                </c:pt>
                <c:pt idx="12">
                  <c:v>0.5</c:v>
                </c:pt>
                <c:pt idx="13">
                  <c:v>0.54166666666666663</c:v>
                </c:pt>
                <c:pt idx="14">
                  <c:v>0.58333333333333337</c:v>
                </c:pt>
                <c:pt idx="15">
                  <c:v>0.625</c:v>
                </c:pt>
                <c:pt idx="16">
                  <c:v>0.66666666666666663</c:v>
                </c:pt>
                <c:pt idx="17">
                  <c:v>0.70833333333333337</c:v>
                </c:pt>
                <c:pt idx="18">
                  <c:v>0.75</c:v>
                </c:pt>
                <c:pt idx="19">
                  <c:v>0.79166666666666663</c:v>
                </c:pt>
                <c:pt idx="20">
                  <c:v>0.83333333333333337</c:v>
                </c:pt>
                <c:pt idx="21">
                  <c:v>0.875</c:v>
                </c:pt>
                <c:pt idx="22">
                  <c:v>0.91666666666666663</c:v>
                </c:pt>
                <c:pt idx="23">
                  <c:v>0.95833333333333337</c:v>
                </c:pt>
              </c:numCache>
            </c:numRef>
          </c:cat>
          <c:val>
            <c:numRef>
              <c:f>HourlyPivot!$B$146:$B$169</c:f>
              <c:numCache>
                <c:formatCode>0.00%</c:formatCode>
                <c:ptCount val="24"/>
                <c:pt idx="0">
                  <c:v>0.99981184818836688</c:v>
                </c:pt>
                <c:pt idx="1">
                  <c:v>0.99985839072235638</c:v>
                </c:pt>
                <c:pt idx="2">
                  <c:v>0.99937255659056901</c:v>
                </c:pt>
                <c:pt idx="3">
                  <c:v>0.99962881852937902</c:v>
                </c:pt>
                <c:pt idx="4">
                  <c:v>0.99969865578957562</c:v>
                </c:pt>
                <c:pt idx="5">
                  <c:v>0.99982230929572968</c:v>
                </c:pt>
                <c:pt idx="6">
                  <c:v>0.99976711223949266</c:v>
                </c:pt>
                <c:pt idx="7">
                  <c:v>0.99965518845592838</c:v>
                </c:pt>
                <c:pt idx="8">
                  <c:v>0.99962073271570562</c:v>
                </c:pt>
                <c:pt idx="9">
                  <c:v>0.99965712634322801</c:v>
                </c:pt>
                <c:pt idx="10">
                  <c:v>0.99963408752542515</c:v>
                </c:pt>
                <c:pt idx="11">
                  <c:v>0.99968886061940365</c:v>
                </c:pt>
                <c:pt idx="12">
                  <c:v>0.99965841859106797</c:v>
                </c:pt>
                <c:pt idx="13">
                  <c:v>0.9996978749185963</c:v>
                </c:pt>
                <c:pt idx="14">
                  <c:v>0.99971626142065562</c:v>
                </c:pt>
                <c:pt idx="15">
                  <c:v>0.99948448898419517</c:v>
                </c:pt>
                <c:pt idx="16">
                  <c:v>0.99856841995530921</c:v>
                </c:pt>
                <c:pt idx="17">
                  <c:v>0.99960558552141632</c:v>
                </c:pt>
                <c:pt idx="18">
                  <c:v>0.99976058470804707</c:v>
                </c:pt>
                <c:pt idx="19">
                  <c:v>0.99971797113067495</c:v>
                </c:pt>
                <c:pt idx="20">
                  <c:v>0.99992632317756502</c:v>
                </c:pt>
                <c:pt idx="21">
                  <c:v>0.99994868682248284</c:v>
                </c:pt>
                <c:pt idx="22">
                  <c:v>0.9999419040677715</c:v>
                </c:pt>
                <c:pt idx="23">
                  <c:v>0.99996665101829829</c:v>
                </c:pt>
              </c:numCache>
            </c:numRef>
          </c:val>
        </c:ser>
        <c:ser>
          <c:idx val="1"/>
          <c:order val="1"/>
          <c:tx>
            <c:strRef>
              <c:f>HourlyPivot!$C$145</c:f>
              <c:strCache>
                <c:ptCount val="1"/>
                <c:pt idx="0">
                  <c:v>Sum of &gt; 2.5 Sec.</c:v>
                </c:pt>
              </c:strCache>
            </c:strRef>
          </c:tx>
          <c:spPr>
            <a:solidFill>
              <a:schemeClr val="accent2"/>
            </a:solidFill>
            <a:ln>
              <a:noFill/>
            </a:ln>
            <a:effectLst/>
          </c:spPr>
          <c:invertIfNegative val="0"/>
          <c:cat>
            <c:numRef>
              <c:f>HourlyPivot!$A$146:$A$169</c:f>
              <c:numCache>
                <c:formatCode>h:mm;@</c:formatCode>
                <c:ptCount val="24"/>
                <c:pt idx="0">
                  <c:v>0</c:v>
                </c:pt>
                <c:pt idx="1">
                  <c:v>4.1666666666666664E-2</c:v>
                </c:pt>
                <c:pt idx="2">
                  <c:v>8.3333333333333329E-2</c:v>
                </c:pt>
                <c:pt idx="3">
                  <c:v>0.125</c:v>
                </c:pt>
                <c:pt idx="4">
                  <c:v>0.16666666666666666</c:v>
                </c:pt>
                <c:pt idx="5">
                  <c:v>0.20833333333333334</c:v>
                </c:pt>
                <c:pt idx="6">
                  <c:v>0.25</c:v>
                </c:pt>
                <c:pt idx="7">
                  <c:v>0.29166666666666669</c:v>
                </c:pt>
                <c:pt idx="8">
                  <c:v>0.33333333333333331</c:v>
                </c:pt>
                <c:pt idx="9">
                  <c:v>0.375</c:v>
                </c:pt>
                <c:pt idx="10">
                  <c:v>0.41666666666666669</c:v>
                </c:pt>
                <c:pt idx="11">
                  <c:v>0.45833333333333331</c:v>
                </c:pt>
                <c:pt idx="12">
                  <c:v>0.5</c:v>
                </c:pt>
                <c:pt idx="13">
                  <c:v>0.54166666666666663</c:v>
                </c:pt>
                <c:pt idx="14">
                  <c:v>0.58333333333333337</c:v>
                </c:pt>
                <c:pt idx="15">
                  <c:v>0.625</c:v>
                </c:pt>
                <c:pt idx="16">
                  <c:v>0.66666666666666663</c:v>
                </c:pt>
                <c:pt idx="17">
                  <c:v>0.70833333333333337</c:v>
                </c:pt>
                <c:pt idx="18">
                  <c:v>0.75</c:v>
                </c:pt>
                <c:pt idx="19">
                  <c:v>0.79166666666666663</c:v>
                </c:pt>
                <c:pt idx="20">
                  <c:v>0.83333333333333337</c:v>
                </c:pt>
                <c:pt idx="21">
                  <c:v>0.875</c:v>
                </c:pt>
                <c:pt idx="22">
                  <c:v>0.91666666666666663</c:v>
                </c:pt>
                <c:pt idx="23">
                  <c:v>0.95833333333333337</c:v>
                </c:pt>
              </c:numCache>
            </c:numRef>
          </c:cat>
          <c:val>
            <c:numRef>
              <c:f>HourlyPivot!$C$146:$C$169</c:f>
              <c:numCache>
                <c:formatCode>0.00%</c:formatCode>
                <c:ptCount val="24"/>
                <c:pt idx="0">
                  <c:v>1.8815181163315772E-4</c:v>
                </c:pt>
                <c:pt idx="1">
                  <c:v>1.4160927764362161E-4</c:v>
                </c:pt>
                <c:pt idx="2">
                  <c:v>6.2744340943095712E-4</c:v>
                </c:pt>
                <c:pt idx="3">
                  <c:v>3.7118147062098662E-4</c:v>
                </c:pt>
                <c:pt idx="4">
                  <c:v>3.0134421042435724E-4</c:v>
                </c:pt>
                <c:pt idx="5">
                  <c:v>1.7769070427027211E-4</c:v>
                </c:pt>
                <c:pt idx="6">
                  <c:v>2.328877605073899E-4</c:v>
                </c:pt>
                <c:pt idx="7">
                  <c:v>3.4481154407156757E-4</c:v>
                </c:pt>
                <c:pt idx="8">
                  <c:v>3.7926728429436878E-4</c:v>
                </c:pt>
                <c:pt idx="9">
                  <c:v>3.4287365677204045E-4</c:v>
                </c:pt>
                <c:pt idx="10">
                  <c:v>3.6591247457484955E-4</c:v>
                </c:pt>
                <c:pt idx="11">
                  <c:v>3.1113938059632425E-4</c:v>
                </c:pt>
                <c:pt idx="12">
                  <c:v>3.4158140893204966E-4</c:v>
                </c:pt>
                <c:pt idx="13">
                  <c:v>3.0212508140367475E-4</c:v>
                </c:pt>
                <c:pt idx="14">
                  <c:v>2.8373857934440032E-4</c:v>
                </c:pt>
                <c:pt idx="15">
                  <c:v>5.1551101580486834E-4</c:v>
                </c:pt>
                <c:pt idx="16">
                  <c:v>1.4315800446908196E-3</c:v>
                </c:pt>
                <c:pt idx="17">
                  <c:v>3.944144785836948E-4</c:v>
                </c:pt>
                <c:pt idx="18">
                  <c:v>2.3941529195297252E-4</c:v>
                </c:pt>
                <c:pt idx="19">
                  <c:v>2.8202886932501413E-4</c:v>
                </c:pt>
                <c:pt idx="20">
                  <c:v>7.3676822434980203E-5</c:v>
                </c:pt>
                <c:pt idx="21">
                  <c:v>5.1313177517204578E-5</c:v>
                </c:pt>
                <c:pt idx="22">
                  <c:v>5.8095932228454328E-5</c:v>
                </c:pt>
                <c:pt idx="23">
                  <c:v>3.3348981701670272E-5</c:v>
                </c:pt>
              </c:numCache>
            </c:numRef>
          </c:val>
        </c:ser>
        <c:dLbls>
          <c:showLegendKey val="0"/>
          <c:showVal val="0"/>
          <c:showCatName val="0"/>
          <c:showSerName val="0"/>
          <c:showPercent val="0"/>
          <c:showBubbleSize val="0"/>
        </c:dLbls>
        <c:gapWidth val="75"/>
        <c:overlap val="100"/>
        <c:axId val="116317184"/>
        <c:axId val="116318976"/>
        <c:extLst/>
      </c:barChart>
      <c:catAx>
        <c:axId val="116317184"/>
        <c:scaling>
          <c:orientation val="minMax"/>
        </c:scaling>
        <c:delete val="0"/>
        <c:axPos val="b"/>
        <c:numFmt formatCode="h:mm;@" sourceLinked="1"/>
        <c:majorTickMark val="out"/>
        <c:minorTickMark val="none"/>
        <c:tickLblPos val="nextTo"/>
        <c:spPr>
          <a:noFill/>
          <a:ln w="9525" cap="flat" cmpd="sng" algn="ctr">
            <a:solidFill>
              <a:schemeClr val="bg1">
                <a:lumMod val="50000"/>
              </a:schemeClr>
            </a:solidFill>
            <a:round/>
          </a:ln>
          <a:effectLst/>
        </c:spPr>
        <c:txPr>
          <a:bodyPr rot="-3000000" spcFirstLastPara="1" vertOverflow="ellipsis" wrap="square" anchor="ctr" anchorCtr="1"/>
          <a:lstStyle/>
          <a:p>
            <a:pPr>
              <a:defRPr sz="700" b="0" i="0" u="none" strike="noStrike" kern="1200" baseline="0">
                <a:solidFill>
                  <a:sysClr val="windowText" lastClr="000000"/>
                </a:solidFill>
                <a:latin typeface="+mn-lt"/>
                <a:ea typeface="+mn-ea"/>
                <a:cs typeface="+mn-cs"/>
              </a:defRPr>
            </a:pPr>
            <a:endParaRPr lang="en-US"/>
          </a:p>
        </c:txPr>
        <c:crossAx val="116318976"/>
        <c:crosses val="autoZero"/>
        <c:auto val="1"/>
        <c:lblAlgn val="ctr"/>
        <c:lblOffset val="100"/>
        <c:noMultiLvlLbl val="0"/>
      </c:catAx>
      <c:valAx>
        <c:axId val="116318976"/>
        <c:scaling>
          <c:orientation val="minMax"/>
          <c:min val="0.95000000000000007"/>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n-US"/>
          </a:p>
        </c:txPr>
        <c:crossAx val="116317184"/>
        <c:crosses val="autoZero"/>
        <c:crossBetween val="between"/>
        <c:majorUnit val="1.0000000000000002E-2"/>
        <c:minorUnit val="1.0000000000000002E-2"/>
      </c:valAx>
      <c:spPr>
        <a:noFill/>
        <a:ln>
          <a:solidFill>
            <a:schemeClr val="bg1">
              <a:lumMod val="50000"/>
            </a:schemeClr>
          </a:solid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0.00144</cdr:x>
      <cdr:y>0.25566</cdr:y>
    </cdr:from>
    <cdr:to>
      <cdr:x>0.0312</cdr:x>
      <cdr:y>0.63905</cdr:y>
    </cdr:to>
    <cdr:sp macro="" textlink="">
      <cdr:nvSpPr>
        <cdr:cNvPr id="2" name="TextBox 1"/>
        <cdr:cNvSpPr txBox="1"/>
      </cdr:nvSpPr>
      <cdr:spPr>
        <a:xfrm xmlns:a="http://schemas.openxmlformats.org/drawingml/2006/main">
          <a:off x="8595" y="631182"/>
          <a:ext cx="177354" cy="946568"/>
        </a:xfrm>
        <a:prstGeom xmlns:a="http://schemas.openxmlformats.org/drawingml/2006/main" prst="rect">
          <a:avLst/>
        </a:prstGeom>
      </cdr:spPr>
      <cdr:txBody>
        <a:bodyPr xmlns:a="http://schemas.openxmlformats.org/drawingml/2006/main" vertOverflow="overflow" horzOverflow="overflow" vert="vert270" wrap="none" lIns="0" tIns="0" rIns="0" bIns="0" rtlCol="0" anchor="ctr"/>
        <a:lstStyle xmlns:a="http://schemas.openxmlformats.org/drawingml/2006/main"/>
        <a:p xmlns:a="http://schemas.openxmlformats.org/drawingml/2006/main">
          <a:pPr algn="ctr"/>
          <a:r>
            <a:rPr lang="en-US" sz="700"/>
            <a:t>Tap </a:t>
          </a:r>
          <a:r>
            <a:rPr lang="en-US" sz="700" baseline="0"/>
            <a:t>Volume</a:t>
          </a:r>
          <a:endParaRPr lang="en-US" sz="700"/>
        </a:p>
      </cdr:txBody>
    </cdr:sp>
  </cdr:relSizeAnchor>
  <cdr:relSizeAnchor xmlns:cdr="http://schemas.openxmlformats.org/drawingml/2006/chartDrawing">
    <cdr:from>
      <cdr:x>0.54551</cdr:x>
      <cdr:y>0.12952</cdr:y>
    </cdr:from>
    <cdr:to>
      <cdr:x>0.66327</cdr:x>
      <cdr:y>0.26146</cdr:y>
    </cdr:to>
    <cdr:sp macro="" textlink="">
      <cdr:nvSpPr>
        <cdr:cNvPr id="3" name="TextBox 2"/>
        <cdr:cNvSpPr txBox="1"/>
      </cdr:nvSpPr>
      <cdr:spPr>
        <a:xfrm xmlns:a="http://schemas.openxmlformats.org/drawingml/2006/main">
          <a:off x="3310506" y="316684"/>
          <a:ext cx="714640" cy="3226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700"/>
            <a:t>Thanksgiving Week</a:t>
          </a:r>
        </a:p>
      </cdr:txBody>
    </cdr:sp>
  </cdr:relSizeAnchor>
  <cdr:relSizeAnchor xmlns:cdr="http://schemas.openxmlformats.org/drawingml/2006/chartDrawing">
    <cdr:from>
      <cdr:x>0.6033</cdr:x>
      <cdr:y>0.25565</cdr:y>
    </cdr:from>
    <cdr:to>
      <cdr:x>0.6033</cdr:x>
      <cdr:y>0.3855</cdr:y>
    </cdr:to>
    <cdr:cxnSp macro="">
      <cdr:nvCxnSpPr>
        <cdr:cNvPr id="5" name="Straight Connector 4"/>
        <cdr:cNvCxnSpPr/>
      </cdr:nvCxnSpPr>
      <cdr:spPr>
        <a:xfrm xmlns:a="http://schemas.openxmlformats.org/drawingml/2006/main">
          <a:off x="3661172" y="625079"/>
          <a:ext cx="0" cy="31750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0.07961</cdr:x>
      <cdr:y>0.28514</cdr:y>
    </cdr:from>
    <cdr:to>
      <cdr:x>0.97192</cdr:x>
      <cdr:y>0.28514</cdr:y>
    </cdr:to>
    <cdr:cxnSp macro="">
      <cdr:nvCxnSpPr>
        <cdr:cNvPr id="3" name="Straight Connector 2"/>
        <cdr:cNvCxnSpPr/>
      </cdr:nvCxnSpPr>
      <cdr:spPr>
        <a:xfrm xmlns:a="http://schemas.openxmlformats.org/drawingml/2006/main">
          <a:off x="474776" y="631708"/>
          <a:ext cx="5321532" cy="0"/>
        </a:xfrm>
        <a:prstGeom xmlns:a="http://schemas.openxmlformats.org/drawingml/2006/main" prst="line">
          <a:avLst/>
        </a:prstGeom>
        <a:ln xmlns:a="http://schemas.openxmlformats.org/drawingml/2006/main" w="190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0.07612</cdr:x>
      <cdr:y>0.28591</cdr:y>
    </cdr:from>
    <cdr:to>
      <cdr:x>0.96843</cdr:x>
      <cdr:y>0.28591</cdr:y>
    </cdr:to>
    <cdr:cxnSp macro="">
      <cdr:nvCxnSpPr>
        <cdr:cNvPr id="3" name="Straight Connector 2"/>
        <cdr:cNvCxnSpPr/>
      </cdr:nvCxnSpPr>
      <cdr:spPr>
        <a:xfrm xmlns:a="http://schemas.openxmlformats.org/drawingml/2006/main">
          <a:off x="486337" y="672038"/>
          <a:ext cx="5701047" cy="0"/>
        </a:xfrm>
        <a:prstGeom xmlns:a="http://schemas.openxmlformats.org/drawingml/2006/main" prst="line">
          <a:avLst/>
        </a:prstGeom>
        <a:ln xmlns:a="http://schemas.openxmlformats.org/drawingml/2006/main" w="190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0.08613</cdr:x>
      <cdr:y>0.25942</cdr:y>
    </cdr:from>
    <cdr:to>
      <cdr:x>0.97261</cdr:x>
      <cdr:y>0.25942</cdr:y>
    </cdr:to>
    <cdr:cxnSp macro="">
      <cdr:nvCxnSpPr>
        <cdr:cNvPr id="3" name="Straight Connector 2"/>
        <cdr:cNvCxnSpPr/>
      </cdr:nvCxnSpPr>
      <cdr:spPr>
        <a:xfrm xmlns:a="http://schemas.openxmlformats.org/drawingml/2006/main">
          <a:off x="509711" y="616279"/>
          <a:ext cx="5246176" cy="0"/>
        </a:xfrm>
        <a:prstGeom xmlns:a="http://schemas.openxmlformats.org/drawingml/2006/main" prst="line">
          <a:avLst/>
        </a:prstGeom>
        <a:ln xmlns:a="http://schemas.openxmlformats.org/drawingml/2006/main" w="19050">
          <a:solidFill>
            <a:srgbClr val="FF0000"/>
          </a:solidFill>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0.07822</cdr:x>
      <cdr:y>0.28777</cdr:y>
    </cdr:from>
    <cdr:to>
      <cdr:x>0.97571</cdr:x>
      <cdr:y>0.28777</cdr:y>
    </cdr:to>
    <cdr:cxnSp macro="">
      <cdr:nvCxnSpPr>
        <cdr:cNvPr id="3" name="Straight Connector 2"/>
        <cdr:cNvCxnSpPr/>
      </cdr:nvCxnSpPr>
      <cdr:spPr>
        <a:xfrm xmlns:a="http://schemas.openxmlformats.org/drawingml/2006/main">
          <a:off x="465186" y="657851"/>
          <a:ext cx="5337507" cy="0"/>
        </a:xfrm>
        <a:prstGeom xmlns:a="http://schemas.openxmlformats.org/drawingml/2006/main" prst="line">
          <a:avLst/>
        </a:prstGeom>
        <a:ln xmlns:a="http://schemas.openxmlformats.org/drawingml/2006/main" w="190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Key_x0020_Fields xmlns="176ac942-7cfd-460d-be4b-a45acd7a9711" xsi:nil="true"/>
    <Source xmlns="176ac942-7cfd-460d-be4b-a45acd7a9711" xsi:nil="true"/>
    <Business_x0020_Area xmlns="176ac942-7cfd-460d-be4b-a45acd7a9711" xsi:nil="true"/>
    <EmailSender xmlns="http://schemas.microsoft.com/sharepoint/v3" xsi:nil="true"/>
    <EmailFrom xmlns="http://schemas.microsoft.com/sharepoint/v3" xsi:nil="true"/>
    <Description0 xmlns="176ac942-7cfd-460d-be4b-a45acd7a9711" xsi:nil="true"/>
    <EmailSubject xmlns="http://schemas.microsoft.com/sharepoint/v3" xsi:nil="true"/>
    <Frequency xmlns="176ac942-7cfd-460d-be4b-a45acd7a9711" xsi:nil="true"/>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02CB0517F53B43820168E033CDEC2E" ma:contentTypeVersion="16" ma:contentTypeDescription="Create a new document." ma:contentTypeScope="" ma:versionID="72d3ee1ed1844d636f37a83b1d19d385">
  <xsd:schema xmlns:xsd="http://www.w3.org/2001/XMLSchema" xmlns:xs="http://www.w3.org/2001/XMLSchema" xmlns:p="http://schemas.microsoft.com/office/2006/metadata/properties" xmlns:ns1="http://schemas.microsoft.com/sharepoint/v3" xmlns:ns2="176ac942-7cfd-460d-be4b-a45acd7a9711" xmlns:ns3="http://schemas.microsoft.com/sharepoint/v4" targetNamespace="http://schemas.microsoft.com/office/2006/metadata/properties" ma:root="true" ma:fieldsID="4de3caa7ce87c4707a90aa820791ccc5" ns1:_="" ns2:_="" ns3:_="">
    <xsd:import namespace="http://schemas.microsoft.com/sharepoint/v3"/>
    <xsd:import namespace="176ac942-7cfd-460d-be4b-a45acd7a9711"/>
    <xsd:import namespace="http://schemas.microsoft.com/sharepoint/v4"/>
    <xsd:element name="properties">
      <xsd:complexType>
        <xsd:sequence>
          <xsd:element name="documentManagement">
            <xsd:complexType>
              <xsd:all>
                <xsd:element ref="ns2:Description0" minOccurs="0"/>
                <xsd:element ref="ns2:Key_x0020_Fields" minOccurs="0"/>
                <xsd:element ref="ns2:Frequency" minOccurs="0"/>
                <xsd:element ref="ns2:Source" minOccurs="0"/>
                <xsd:element ref="ns2:Business_x0020_Area"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3" nillable="true" ma:displayName="E-Mail Sender" ma:hidden="true" ma:internalName="EmailSender">
      <xsd:simpleType>
        <xsd:restriction base="dms:Note">
          <xsd:maxLength value="255"/>
        </xsd:restriction>
      </xsd:simpleType>
    </xsd:element>
    <xsd:element name="EmailTo" ma:index="14" nillable="true" ma:displayName="E-Mail To" ma:hidden="true" ma:internalName="EmailTo">
      <xsd:simpleType>
        <xsd:restriction base="dms:Note">
          <xsd:maxLength value="255"/>
        </xsd:restriction>
      </xsd:simpleType>
    </xsd:element>
    <xsd:element name="EmailCc" ma:index="15" nillable="true" ma:displayName="E-Mail Cc" ma:hidden="true" ma:internalName="EmailCc">
      <xsd:simpleType>
        <xsd:restriction base="dms:Note">
          <xsd:maxLength value="255"/>
        </xsd:restriction>
      </xsd:simpleType>
    </xsd:element>
    <xsd:element name="EmailFrom" ma:index="16" nillable="true" ma:displayName="E-Mail From" ma:hidden="true" ma:internalName="EmailFrom">
      <xsd:simpleType>
        <xsd:restriction base="dms:Text"/>
      </xsd:simpleType>
    </xsd:element>
    <xsd:element name="EmailSubject" ma:index="17"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ac942-7cfd-460d-be4b-a45acd7a9711"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Key_x0020_Fields" ma:index="9" nillable="true" ma:displayName="Key Fields" ma:internalName="Key_x0020_Fields">
      <xsd:simpleType>
        <xsd:restriction base="dms:Text">
          <xsd:maxLength value="255"/>
        </xsd:restriction>
      </xsd:simpleType>
    </xsd:element>
    <xsd:element name="Frequency" ma:index="10" nillable="true" ma:displayName="Frequency" ma:internalName="Frequency">
      <xsd:simpleType>
        <xsd:restriction base="dms:Text">
          <xsd:maxLength value="255"/>
        </xsd:restriction>
      </xsd:simpleType>
    </xsd:element>
    <xsd:element name="Source" ma:index="11" nillable="true" ma:displayName="Source" ma:internalName="Source">
      <xsd:simpleType>
        <xsd:restriction base="dms:Text">
          <xsd:maxLength value="255"/>
        </xsd:restriction>
      </xsd:simpleType>
    </xsd:element>
    <xsd:element name="Business_x0020_Area" ma:index="12" nillable="true" ma:displayName="Business Area" ma:internalName="Business_x0020_Are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8"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56D0C-441E-4FAF-AE66-9E892FD1ADBA}">
  <ds:schemaRefs>
    <ds:schemaRef ds:uri="http://schemas.microsoft.com/sharepoint/v3/contenttype/forms"/>
  </ds:schemaRefs>
</ds:datastoreItem>
</file>

<file path=customXml/itemProps2.xml><?xml version="1.0" encoding="utf-8"?>
<ds:datastoreItem xmlns:ds="http://schemas.openxmlformats.org/officeDocument/2006/customXml" ds:itemID="{EA5D9A17-9AA8-443B-A80D-F66DC8839C7A}">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76ac942-7cfd-460d-be4b-a45acd7a9711"/>
  </ds:schemaRefs>
</ds:datastoreItem>
</file>

<file path=customXml/itemProps3.xml><?xml version="1.0" encoding="utf-8"?>
<ds:datastoreItem xmlns:ds="http://schemas.openxmlformats.org/officeDocument/2006/customXml" ds:itemID="{3F2BAD02-8F39-4606-A535-E4D960AC7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6ac942-7cfd-460d-be4b-a45acd7a971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D8C0FE-7206-4B90-B4E1-00D84372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 Brian</dc:creator>
  <cp:lastModifiedBy>Chase, Tammy</cp:lastModifiedBy>
  <cp:revision>3</cp:revision>
  <cp:lastPrinted>2014-01-31T18:23:00Z</cp:lastPrinted>
  <dcterms:created xsi:type="dcterms:W3CDTF">2014-01-31T18:23:00Z</dcterms:created>
  <dcterms:modified xsi:type="dcterms:W3CDTF">2014-01-31T18:23:00Z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0x0101001A02CB0517F53B43820168E033CDEC2E</vt:lpwstr>
  </property>
</Properties>
</file>